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89" w:rsidRDefault="000278D9">
      <w:pPr>
        <w:pStyle w:val="Ttulo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480832" behindDoc="1" locked="0" layoutInCell="1" allowOverlap="1">
            <wp:simplePos x="0" y="0"/>
            <wp:positionH relativeFrom="page">
              <wp:posOffset>1696211</wp:posOffset>
            </wp:positionH>
            <wp:positionV relativeFrom="page">
              <wp:posOffset>1159764</wp:posOffset>
            </wp:positionV>
            <wp:extent cx="693508" cy="608076"/>
            <wp:effectExtent l="0" t="0" r="0" b="0"/>
            <wp:wrapNone/>
            <wp:docPr id="1" name="image1.jpeg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508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789" w:rsidRDefault="006F6789">
      <w:pPr>
        <w:pStyle w:val="Ttulo"/>
        <w:rPr>
          <w:sz w:val="20"/>
        </w:rPr>
      </w:pPr>
    </w:p>
    <w:p w:rsidR="006F6789" w:rsidRDefault="006F6789">
      <w:pPr>
        <w:pStyle w:val="Ttulo"/>
        <w:spacing w:before="1"/>
        <w:rPr>
          <w:sz w:val="18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8859"/>
        <w:gridCol w:w="4944"/>
      </w:tblGrid>
      <w:tr w:rsidR="006F6789">
        <w:trPr>
          <w:trHeight w:val="199"/>
        </w:trPr>
        <w:tc>
          <w:tcPr>
            <w:tcW w:w="13803" w:type="dxa"/>
            <w:gridSpan w:val="2"/>
          </w:tcPr>
          <w:p w:rsidR="006F6789" w:rsidRDefault="000278D9">
            <w:pPr>
              <w:pStyle w:val="TableParagraph"/>
              <w:spacing w:line="179" w:lineRule="exact"/>
              <w:ind w:left="4570" w:right="45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PREFEITURA MUNICIPAL DE BOA VISTA DO CADEADO - RS</w:t>
            </w:r>
          </w:p>
        </w:tc>
      </w:tr>
      <w:tr w:rsidR="006F6789">
        <w:trPr>
          <w:trHeight w:val="218"/>
        </w:trPr>
        <w:tc>
          <w:tcPr>
            <w:tcW w:w="13803" w:type="dxa"/>
            <w:gridSpan w:val="2"/>
          </w:tcPr>
          <w:p w:rsidR="006F6789" w:rsidRDefault="000278D9">
            <w:pPr>
              <w:pStyle w:val="TableParagraph"/>
              <w:spacing w:before="15" w:line="184" w:lineRule="exact"/>
              <w:ind w:left="4570" w:right="45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LEI DE DIRETRIZES ORÇAMENTÁRIAS</w:t>
            </w:r>
          </w:p>
        </w:tc>
      </w:tr>
      <w:tr w:rsidR="006F6789">
        <w:trPr>
          <w:trHeight w:val="218"/>
        </w:trPr>
        <w:tc>
          <w:tcPr>
            <w:tcW w:w="13803" w:type="dxa"/>
            <w:gridSpan w:val="2"/>
          </w:tcPr>
          <w:p w:rsidR="006F6789" w:rsidRDefault="000278D9">
            <w:pPr>
              <w:pStyle w:val="TableParagraph"/>
              <w:spacing w:before="15" w:line="184" w:lineRule="exact"/>
              <w:ind w:left="4570" w:right="45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ANEXO DE  METAS FISCAIS</w:t>
            </w:r>
          </w:p>
        </w:tc>
      </w:tr>
      <w:tr w:rsidR="006F6789">
        <w:trPr>
          <w:trHeight w:val="218"/>
        </w:trPr>
        <w:tc>
          <w:tcPr>
            <w:tcW w:w="8859" w:type="dxa"/>
          </w:tcPr>
          <w:p w:rsidR="006F6789" w:rsidRDefault="000278D9">
            <w:pPr>
              <w:pStyle w:val="TableParagraph"/>
              <w:spacing w:before="15" w:line="184" w:lineRule="exact"/>
              <w:ind w:right="15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ANEXO III</w:t>
            </w:r>
          </w:p>
        </w:tc>
        <w:tc>
          <w:tcPr>
            <w:tcW w:w="4944" w:type="dxa"/>
          </w:tcPr>
          <w:p w:rsidR="006F6789" w:rsidRDefault="006F67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6789">
        <w:trPr>
          <w:trHeight w:val="218"/>
        </w:trPr>
        <w:tc>
          <w:tcPr>
            <w:tcW w:w="13803" w:type="dxa"/>
            <w:gridSpan w:val="2"/>
          </w:tcPr>
          <w:p w:rsidR="006F6789" w:rsidRDefault="000278D9">
            <w:pPr>
              <w:pStyle w:val="TableParagraph"/>
              <w:spacing w:before="15" w:line="184" w:lineRule="exact"/>
              <w:ind w:left="4013"/>
              <w:rPr>
                <w:b/>
                <w:sz w:val="16"/>
              </w:rPr>
            </w:pPr>
            <w:r>
              <w:rPr>
                <w:b/>
                <w:sz w:val="16"/>
              </w:rPr>
              <w:t>(h) Margem de Expansão das Despesas Obrigatórias de Caráter Continuado</w:t>
            </w:r>
          </w:p>
        </w:tc>
      </w:tr>
      <w:tr w:rsidR="006F6789">
        <w:trPr>
          <w:trHeight w:val="594"/>
        </w:trPr>
        <w:tc>
          <w:tcPr>
            <w:tcW w:w="8859" w:type="dxa"/>
          </w:tcPr>
          <w:p w:rsidR="006F6789" w:rsidRDefault="000278D9">
            <w:pPr>
              <w:pStyle w:val="TableParagraph"/>
              <w:spacing w:before="15"/>
              <w:ind w:right="176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4944" w:type="dxa"/>
          </w:tcPr>
          <w:p w:rsidR="006F6789" w:rsidRDefault="006F67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789">
        <w:trPr>
          <w:trHeight w:val="571"/>
        </w:trPr>
        <w:tc>
          <w:tcPr>
            <w:tcW w:w="8859" w:type="dxa"/>
            <w:tcBorders>
              <w:bottom w:val="single" w:sz="18" w:space="0" w:color="000000"/>
            </w:tcBorders>
          </w:tcPr>
          <w:p w:rsidR="006F6789" w:rsidRDefault="006F6789">
            <w:pPr>
              <w:pStyle w:val="TableParagraph"/>
              <w:rPr>
                <w:rFonts w:ascii="Times New Roman"/>
                <w:sz w:val="18"/>
              </w:rPr>
            </w:pPr>
          </w:p>
          <w:p w:rsidR="006F6789" w:rsidRDefault="006F678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6F6789" w:rsidRDefault="000278D9">
            <w:pPr>
              <w:pStyle w:val="TableParagraph"/>
              <w:spacing w:line="160" w:lineRule="exact"/>
              <w:ind w:left="43"/>
              <w:rPr>
                <w:sz w:val="16"/>
              </w:rPr>
            </w:pPr>
            <w:r>
              <w:rPr>
                <w:sz w:val="16"/>
              </w:rPr>
              <w:t>(LRF, art. 4°, § 2°, inciso V)</w:t>
            </w:r>
          </w:p>
        </w:tc>
        <w:tc>
          <w:tcPr>
            <w:tcW w:w="4944" w:type="dxa"/>
            <w:tcBorders>
              <w:bottom w:val="single" w:sz="18" w:space="0" w:color="000000"/>
            </w:tcBorders>
          </w:tcPr>
          <w:p w:rsidR="006F6789" w:rsidRDefault="006F6789">
            <w:pPr>
              <w:pStyle w:val="TableParagraph"/>
              <w:rPr>
                <w:rFonts w:ascii="Times New Roman"/>
                <w:sz w:val="18"/>
              </w:rPr>
            </w:pPr>
          </w:p>
          <w:p w:rsidR="006F6789" w:rsidRDefault="006F6789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6F6789" w:rsidRDefault="000278D9">
            <w:pPr>
              <w:pStyle w:val="TableParagraph"/>
              <w:spacing w:line="160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R$ 1,00</w:t>
            </w:r>
          </w:p>
        </w:tc>
      </w:tr>
      <w:tr w:rsidR="006F6789">
        <w:trPr>
          <w:trHeight w:val="391"/>
        </w:trPr>
        <w:tc>
          <w:tcPr>
            <w:tcW w:w="885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6789" w:rsidRDefault="000278D9">
            <w:pPr>
              <w:pStyle w:val="TableParagraph"/>
              <w:spacing w:before="94"/>
              <w:ind w:left="4039" w:right="39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EVENTOS</w:t>
            </w:r>
          </w:p>
        </w:tc>
        <w:tc>
          <w:tcPr>
            <w:tcW w:w="49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6F6789" w:rsidRDefault="000278D9">
            <w:pPr>
              <w:pStyle w:val="TableParagraph"/>
              <w:spacing w:before="94"/>
              <w:ind w:left="1698" w:right="17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 Previsto 2021</w:t>
            </w:r>
          </w:p>
        </w:tc>
      </w:tr>
      <w:tr w:rsidR="006F6789">
        <w:trPr>
          <w:trHeight w:val="185"/>
        </w:trPr>
        <w:tc>
          <w:tcPr>
            <w:tcW w:w="8859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6F6789" w:rsidRDefault="000278D9">
            <w:pPr>
              <w:pStyle w:val="TableParagraph"/>
              <w:spacing w:line="166" w:lineRule="exact"/>
              <w:ind w:left="43"/>
              <w:rPr>
                <w:sz w:val="16"/>
              </w:rPr>
            </w:pPr>
            <w:r>
              <w:rPr>
                <w:sz w:val="16"/>
              </w:rPr>
              <w:t>Aumento Permanente da Receita</w:t>
            </w:r>
          </w:p>
        </w:tc>
        <w:tc>
          <w:tcPr>
            <w:tcW w:w="494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</w:tcPr>
          <w:p w:rsidR="006F6789" w:rsidRDefault="000278D9">
            <w:pPr>
              <w:pStyle w:val="TableParagraph"/>
              <w:spacing w:line="166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50.003,00</w:t>
            </w:r>
          </w:p>
        </w:tc>
      </w:tr>
      <w:tr w:rsidR="006F6789">
        <w:trPr>
          <w:trHeight w:val="198"/>
        </w:trPr>
        <w:tc>
          <w:tcPr>
            <w:tcW w:w="885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F6789" w:rsidRDefault="000278D9">
            <w:pPr>
              <w:pStyle w:val="TableParagraph"/>
              <w:spacing w:before="5" w:line="173" w:lineRule="exact"/>
              <w:ind w:left="225"/>
              <w:rPr>
                <w:sz w:val="16"/>
              </w:rPr>
            </w:pPr>
            <w:r>
              <w:rPr>
                <w:sz w:val="16"/>
              </w:rPr>
              <w:t>(-) Aumento referente a transferências constitucionais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6F6789" w:rsidRDefault="006F67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6789">
        <w:trPr>
          <w:trHeight w:val="198"/>
        </w:trPr>
        <w:tc>
          <w:tcPr>
            <w:tcW w:w="885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F6789" w:rsidRDefault="000278D9">
            <w:pPr>
              <w:pStyle w:val="TableParagraph"/>
              <w:spacing w:before="5" w:line="173" w:lineRule="exact"/>
              <w:ind w:left="225"/>
              <w:rPr>
                <w:sz w:val="16"/>
              </w:rPr>
            </w:pPr>
            <w:r>
              <w:rPr>
                <w:sz w:val="16"/>
              </w:rPr>
              <w:t>(-) Aumento referente a transferências do FUNDEB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6F6789" w:rsidRDefault="006F67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6789">
        <w:trPr>
          <w:trHeight w:val="198"/>
        </w:trPr>
        <w:tc>
          <w:tcPr>
            <w:tcW w:w="885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F6789" w:rsidRDefault="000278D9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Saldo Final do Aumento Permanente de Receita (I)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959595"/>
          </w:tcPr>
          <w:p w:rsidR="006F6789" w:rsidRDefault="000278D9">
            <w:pPr>
              <w:pStyle w:val="TableParagraph"/>
              <w:spacing w:before="5" w:line="173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50.003,00</w:t>
            </w:r>
          </w:p>
        </w:tc>
      </w:tr>
      <w:tr w:rsidR="006F6789">
        <w:trPr>
          <w:trHeight w:val="198"/>
        </w:trPr>
        <w:tc>
          <w:tcPr>
            <w:tcW w:w="885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F6789" w:rsidRDefault="000278D9">
            <w:pPr>
              <w:pStyle w:val="TableParagraph"/>
              <w:spacing w:before="6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Redução Permanente de Despesa (II)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6F6789" w:rsidRDefault="006F67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6789">
        <w:trPr>
          <w:trHeight w:val="198"/>
        </w:trPr>
        <w:tc>
          <w:tcPr>
            <w:tcW w:w="885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F6789" w:rsidRDefault="000278D9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Margem Bruta (III) = (I+II)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959595"/>
          </w:tcPr>
          <w:p w:rsidR="006F6789" w:rsidRDefault="000278D9">
            <w:pPr>
              <w:pStyle w:val="TableParagraph"/>
              <w:spacing w:before="5" w:line="173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50.003,00</w:t>
            </w:r>
          </w:p>
        </w:tc>
      </w:tr>
      <w:tr w:rsidR="006F6789">
        <w:trPr>
          <w:trHeight w:val="198"/>
        </w:trPr>
        <w:tc>
          <w:tcPr>
            <w:tcW w:w="885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F6789" w:rsidRDefault="000278D9">
            <w:pPr>
              <w:pStyle w:val="TableParagraph"/>
              <w:spacing w:before="5" w:line="173" w:lineRule="exact"/>
              <w:ind w:left="43"/>
              <w:rPr>
                <w:sz w:val="16"/>
              </w:rPr>
            </w:pPr>
            <w:r>
              <w:rPr>
                <w:sz w:val="16"/>
              </w:rPr>
              <w:t>Saldo Utilizado da Margem Bruta (IV)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959595"/>
          </w:tcPr>
          <w:p w:rsidR="006F6789" w:rsidRDefault="000278D9">
            <w:pPr>
              <w:pStyle w:val="TableParagraph"/>
              <w:spacing w:before="5" w:line="173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</w:tr>
      <w:tr w:rsidR="006F6789">
        <w:trPr>
          <w:trHeight w:val="198"/>
        </w:trPr>
        <w:tc>
          <w:tcPr>
            <w:tcW w:w="885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F6789" w:rsidRDefault="000278D9">
            <w:pPr>
              <w:pStyle w:val="TableParagraph"/>
              <w:spacing w:before="5" w:line="173" w:lineRule="exact"/>
              <w:ind w:left="225"/>
              <w:rPr>
                <w:sz w:val="16"/>
              </w:rPr>
            </w:pPr>
            <w:r>
              <w:rPr>
                <w:sz w:val="16"/>
              </w:rPr>
              <w:t>Novas DOCC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6F6789" w:rsidRDefault="000278D9">
            <w:pPr>
              <w:pStyle w:val="TableParagraph"/>
              <w:spacing w:before="5" w:line="173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3,00</w:t>
            </w:r>
          </w:p>
        </w:tc>
      </w:tr>
      <w:tr w:rsidR="006F6789">
        <w:trPr>
          <w:trHeight w:val="198"/>
        </w:trPr>
        <w:tc>
          <w:tcPr>
            <w:tcW w:w="8859" w:type="dxa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F6789" w:rsidRDefault="000278D9">
            <w:pPr>
              <w:pStyle w:val="TableParagraph"/>
              <w:spacing w:before="5" w:line="173" w:lineRule="exact"/>
              <w:ind w:left="225"/>
              <w:rPr>
                <w:sz w:val="16"/>
              </w:rPr>
            </w:pPr>
            <w:r>
              <w:rPr>
                <w:sz w:val="16"/>
              </w:rPr>
              <w:t>Novas DOCC geradas por PPP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</w:tcPr>
          <w:p w:rsidR="006F6789" w:rsidRDefault="006F678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F6789">
        <w:trPr>
          <w:trHeight w:val="185"/>
        </w:trPr>
        <w:tc>
          <w:tcPr>
            <w:tcW w:w="8859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6F6789" w:rsidRDefault="000278D9">
            <w:pPr>
              <w:pStyle w:val="TableParagraph"/>
              <w:spacing w:before="5" w:line="160" w:lineRule="exact"/>
              <w:ind w:left="43"/>
              <w:rPr>
                <w:sz w:val="16"/>
              </w:rPr>
            </w:pPr>
            <w:r>
              <w:rPr>
                <w:sz w:val="16"/>
              </w:rPr>
              <w:t>Margem Líquida de Expansão de DOCC (V) = (III-IV)</w:t>
            </w:r>
          </w:p>
        </w:tc>
        <w:tc>
          <w:tcPr>
            <w:tcW w:w="494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959595"/>
          </w:tcPr>
          <w:p w:rsidR="006F6789" w:rsidRDefault="000278D9">
            <w:pPr>
              <w:pStyle w:val="TableParagraph"/>
              <w:spacing w:before="5" w:line="160" w:lineRule="exact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 w:rsidR="006F6789">
        <w:trPr>
          <w:trHeight w:val="173"/>
        </w:trPr>
        <w:tc>
          <w:tcPr>
            <w:tcW w:w="13803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6F6789" w:rsidRDefault="000278D9">
            <w:pPr>
              <w:pStyle w:val="TableParagraph"/>
              <w:spacing w:line="153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FONTE: Planejamento - LDO 2.027/001, Secretaria Municipal de Administração, Planejamento e Fazenda, 03/08/2020, 11:21:01</w:t>
            </w:r>
          </w:p>
        </w:tc>
      </w:tr>
      <w:tr w:rsidR="006F6789">
        <w:trPr>
          <w:trHeight w:val="414"/>
        </w:trPr>
        <w:tc>
          <w:tcPr>
            <w:tcW w:w="8859" w:type="dxa"/>
            <w:tcBorders>
              <w:top w:val="single" w:sz="18" w:space="0" w:color="000000"/>
            </w:tcBorders>
          </w:tcPr>
          <w:p w:rsidR="006F6789" w:rsidRDefault="006F6789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6F6789" w:rsidRDefault="000278D9">
            <w:pPr>
              <w:pStyle w:val="TableParagraph"/>
              <w:spacing w:line="184" w:lineRule="exact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NOTA:</w:t>
            </w:r>
          </w:p>
        </w:tc>
        <w:tc>
          <w:tcPr>
            <w:tcW w:w="4944" w:type="dxa"/>
            <w:tcBorders>
              <w:top w:val="single" w:sz="18" w:space="0" w:color="000000"/>
            </w:tcBorders>
          </w:tcPr>
          <w:p w:rsidR="006F6789" w:rsidRDefault="006F67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789">
        <w:trPr>
          <w:trHeight w:val="218"/>
        </w:trPr>
        <w:tc>
          <w:tcPr>
            <w:tcW w:w="13803" w:type="dxa"/>
            <w:gridSpan w:val="2"/>
          </w:tcPr>
          <w:p w:rsidR="006F6789" w:rsidRDefault="000278D9">
            <w:pPr>
              <w:pStyle w:val="TableParagraph"/>
              <w:spacing w:before="15"/>
              <w:ind w:left="43"/>
              <w:rPr>
                <w:sz w:val="16"/>
              </w:rPr>
            </w:pPr>
            <w:r>
              <w:rPr>
                <w:sz w:val="16"/>
              </w:rPr>
              <w:t>a) a Margem de Expansão das Despesas Obrigatóras de Caráter Continuado(DOCC) visa assegurar que não haverá criação de nova despesa sem a correspondente fonte de</w:t>
            </w:r>
          </w:p>
        </w:tc>
      </w:tr>
      <w:tr w:rsidR="006F6789">
        <w:trPr>
          <w:trHeight w:val="327"/>
        </w:trPr>
        <w:tc>
          <w:tcPr>
            <w:tcW w:w="8859" w:type="dxa"/>
          </w:tcPr>
          <w:p w:rsidR="006F6789" w:rsidRDefault="000278D9">
            <w:pPr>
              <w:pStyle w:val="TableParagraph"/>
              <w:spacing w:before="15"/>
              <w:ind w:left="43"/>
              <w:rPr>
                <w:sz w:val="16"/>
              </w:rPr>
            </w:pPr>
            <w:r>
              <w:rPr>
                <w:sz w:val="16"/>
              </w:rPr>
              <w:t>financiamento</w:t>
            </w:r>
          </w:p>
        </w:tc>
        <w:tc>
          <w:tcPr>
            <w:tcW w:w="4944" w:type="dxa"/>
          </w:tcPr>
          <w:p w:rsidR="006F6789" w:rsidRDefault="006F67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789">
        <w:trPr>
          <w:trHeight w:val="436"/>
        </w:trPr>
        <w:tc>
          <w:tcPr>
            <w:tcW w:w="13803" w:type="dxa"/>
            <w:gridSpan w:val="2"/>
          </w:tcPr>
          <w:p w:rsidR="006F6789" w:rsidRDefault="000278D9">
            <w:pPr>
              <w:pStyle w:val="TableParagraph"/>
              <w:spacing w:before="124"/>
              <w:ind w:left="43"/>
              <w:rPr>
                <w:sz w:val="16"/>
              </w:rPr>
            </w:pPr>
            <w:r>
              <w:rPr>
                <w:sz w:val="16"/>
              </w:rPr>
              <w:t>b) a metodologia está baseada na variação do crescimento das transferencias co</w:t>
            </w:r>
            <w:r>
              <w:rPr>
                <w:sz w:val="16"/>
              </w:rPr>
              <w:t>rrentes mais especificamente da Cota Parte do FPM conforme inflação do IPCA 2021 de 4,00%;</w:t>
            </w:r>
          </w:p>
        </w:tc>
      </w:tr>
      <w:tr w:rsidR="006F6789">
        <w:trPr>
          <w:trHeight w:val="327"/>
        </w:trPr>
        <w:tc>
          <w:tcPr>
            <w:tcW w:w="13803" w:type="dxa"/>
            <w:gridSpan w:val="2"/>
          </w:tcPr>
          <w:p w:rsidR="006F6789" w:rsidRDefault="000278D9">
            <w:pPr>
              <w:pStyle w:val="TableParagraph"/>
              <w:spacing w:before="124" w:line="184" w:lineRule="exact"/>
              <w:ind w:left="43"/>
              <w:rPr>
                <w:sz w:val="16"/>
              </w:rPr>
            </w:pPr>
            <w:r>
              <w:rPr>
                <w:sz w:val="16"/>
              </w:rPr>
              <w:t>c) no impacto de novas DOCC considerou-se o aumento de despesas com pessoal e encargos decorrentes do crescimento vegetativo da folha e da concessão de aumento</w:t>
            </w:r>
          </w:p>
        </w:tc>
      </w:tr>
      <w:tr w:rsidR="006F6789">
        <w:trPr>
          <w:trHeight w:val="327"/>
        </w:trPr>
        <w:tc>
          <w:tcPr>
            <w:tcW w:w="8859" w:type="dxa"/>
          </w:tcPr>
          <w:p w:rsidR="006F6789" w:rsidRDefault="000278D9">
            <w:pPr>
              <w:pStyle w:val="TableParagraph"/>
              <w:spacing w:before="15"/>
              <w:ind w:left="43"/>
              <w:rPr>
                <w:sz w:val="16"/>
              </w:rPr>
            </w:pPr>
            <w:r>
              <w:rPr>
                <w:sz w:val="16"/>
              </w:rPr>
              <w:t>salarial.</w:t>
            </w:r>
          </w:p>
        </w:tc>
        <w:tc>
          <w:tcPr>
            <w:tcW w:w="4944" w:type="dxa"/>
          </w:tcPr>
          <w:p w:rsidR="006F6789" w:rsidRDefault="006F67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789">
        <w:trPr>
          <w:trHeight w:val="541"/>
        </w:trPr>
        <w:tc>
          <w:tcPr>
            <w:tcW w:w="8859" w:type="dxa"/>
          </w:tcPr>
          <w:p w:rsidR="006F6789" w:rsidRDefault="000278D9">
            <w:pPr>
              <w:pStyle w:val="TableParagraph"/>
              <w:spacing w:before="124"/>
              <w:ind w:left="43"/>
              <w:rPr>
                <w:sz w:val="16"/>
              </w:rPr>
            </w:pPr>
            <w:r>
              <w:rPr>
                <w:sz w:val="16"/>
              </w:rPr>
              <w:t>Boa Vista do Cadeado - RS, 03 de agosto de 2020.</w:t>
            </w:r>
          </w:p>
        </w:tc>
        <w:tc>
          <w:tcPr>
            <w:tcW w:w="4944" w:type="dxa"/>
          </w:tcPr>
          <w:p w:rsidR="006F6789" w:rsidRDefault="006F67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789">
        <w:trPr>
          <w:trHeight w:val="445"/>
        </w:trPr>
        <w:tc>
          <w:tcPr>
            <w:tcW w:w="8859" w:type="dxa"/>
          </w:tcPr>
          <w:p w:rsidR="006F6789" w:rsidRDefault="006F6789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6F6789" w:rsidRDefault="000278D9">
            <w:pPr>
              <w:pStyle w:val="TableParagraph"/>
              <w:spacing w:before="1" w:line="200" w:lineRule="exact"/>
              <w:ind w:left="3160" w:right="31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Fabio Mayer Barasuol,</w:t>
            </w:r>
          </w:p>
        </w:tc>
        <w:tc>
          <w:tcPr>
            <w:tcW w:w="4944" w:type="dxa"/>
          </w:tcPr>
          <w:p w:rsidR="006F6789" w:rsidRDefault="006F6789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6F6789" w:rsidRDefault="000278D9">
            <w:pPr>
              <w:pStyle w:val="TableParagraph"/>
              <w:spacing w:line="193" w:lineRule="exact"/>
              <w:ind w:left="194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Vanessa dos Santos Xavier Padilha,</w:t>
            </w:r>
          </w:p>
        </w:tc>
      </w:tr>
      <w:tr w:rsidR="006F6789">
        <w:trPr>
          <w:trHeight w:val="436"/>
        </w:trPr>
        <w:tc>
          <w:tcPr>
            <w:tcW w:w="8859" w:type="dxa"/>
          </w:tcPr>
          <w:p w:rsidR="006F6789" w:rsidRDefault="000278D9">
            <w:pPr>
              <w:pStyle w:val="TableParagraph"/>
              <w:spacing w:line="205" w:lineRule="exact"/>
              <w:ind w:left="3160" w:right="3136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Prefeito Municipal,</w:t>
            </w:r>
          </w:p>
        </w:tc>
        <w:tc>
          <w:tcPr>
            <w:tcW w:w="4944" w:type="dxa"/>
          </w:tcPr>
          <w:p w:rsidR="006F6789" w:rsidRDefault="000278D9">
            <w:pPr>
              <w:pStyle w:val="TableParagraph"/>
              <w:spacing w:before="5"/>
              <w:ind w:left="217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Sec. Admin, Planej e Fazenda.</w:t>
            </w:r>
          </w:p>
        </w:tc>
      </w:tr>
      <w:tr w:rsidR="006F6789">
        <w:trPr>
          <w:trHeight w:val="433"/>
        </w:trPr>
        <w:tc>
          <w:tcPr>
            <w:tcW w:w="8859" w:type="dxa"/>
          </w:tcPr>
          <w:p w:rsidR="006F6789" w:rsidRDefault="006F6789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6F6789" w:rsidRDefault="000278D9">
            <w:pPr>
              <w:pStyle w:val="TableParagraph"/>
              <w:spacing w:line="197" w:lineRule="exact"/>
              <w:ind w:left="3248" w:right="3134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Fabio da Silva Weischung,</w:t>
            </w:r>
          </w:p>
        </w:tc>
        <w:tc>
          <w:tcPr>
            <w:tcW w:w="4944" w:type="dxa"/>
          </w:tcPr>
          <w:p w:rsidR="006F6789" w:rsidRDefault="006F678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789">
        <w:trPr>
          <w:trHeight w:val="208"/>
        </w:trPr>
        <w:tc>
          <w:tcPr>
            <w:tcW w:w="8859" w:type="dxa"/>
          </w:tcPr>
          <w:p w:rsidR="006F6789" w:rsidRDefault="000278D9">
            <w:pPr>
              <w:pStyle w:val="TableParagraph"/>
              <w:spacing w:before="2" w:line="187" w:lineRule="exact"/>
              <w:ind w:left="3248" w:right="3136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Tec. Contábil CRC/RS 076956-7.</w:t>
            </w:r>
          </w:p>
        </w:tc>
        <w:tc>
          <w:tcPr>
            <w:tcW w:w="4944" w:type="dxa"/>
          </w:tcPr>
          <w:p w:rsidR="006F6789" w:rsidRDefault="006F67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00000" w:rsidRDefault="000278D9"/>
    <w:sectPr w:rsidR="00000000" w:rsidSect="006F6789">
      <w:type w:val="continuous"/>
      <w:pgSz w:w="16840" w:h="11910" w:orient="landscape"/>
      <w:pgMar w:top="1100" w:right="13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F6789"/>
    <w:rsid w:val="000278D9"/>
    <w:rsid w:val="006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F6789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7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sid w:val="006F6789"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  <w:rsid w:val="006F6789"/>
  </w:style>
  <w:style w:type="paragraph" w:customStyle="1" w:styleId="TableParagraph">
    <w:name w:val="Table Paragraph"/>
    <w:basedOn w:val="Normal"/>
    <w:uiPriority w:val="1"/>
    <w:qFormat/>
    <w:rsid w:val="006F67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</dc:creator>
  <cp:lastModifiedBy>CONTABIL</cp:lastModifiedBy>
  <cp:revision>2</cp:revision>
  <dcterms:created xsi:type="dcterms:W3CDTF">2020-09-01T17:18:00Z</dcterms:created>
  <dcterms:modified xsi:type="dcterms:W3CDTF">2020-09-01T17:18:00Z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LastSaved">
    <vt:filetime>2020-09-01T00:00:00Z</vt:filetime>
  </property>
</Properties>
</file>