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CD" w:rsidRDefault="00B017FD">
      <w:pPr>
        <w:pStyle w:val="Corpodetexto"/>
        <w:ind w:left="132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01464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64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CD" w:rsidRDefault="006856CD">
      <w:pPr>
        <w:pStyle w:val="Corpodetexto"/>
        <w:rPr>
          <w:rFonts w:ascii="Times New Roman"/>
          <w:sz w:val="14"/>
        </w:rPr>
      </w:pPr>
    </w:p>
    <w:p w:rsidR="006856CD" w:rsidRDefault="006856CD">
      <w:pPr>
        <w:pStyle w:val="Corpodetexto"/>
        <w:rPr>
          <w:rFonts w:ascii="Times New Roman"/>
          <w:sz w:val="14"/>
        </w:rPr>
      </w:pPr>
    </w:p>
    <w:p w:rsidR="006856CD" w:rsidRDefault="00B017FD">
      <w:pPr>
        <w:pStyle w:val="Corpodetexto"/>
        <w:spacing w:before="83"/>
        <w:ind w:left="138"/>
      </w:pPr>
      <w:r>
        <w:t>(LRF, art. 53, inciso I)</w:t>
      </w:r>
    </w:p>
    <w:p w:rsidR="006856CD" w:rsidRDefault="00B017FD">
      <w:pPr>
        <w:pStyle w:val="Corpodetexto"/>
        <w:spacing w:before="7"/>
        <w:rPr>
          <w:sz w:val="11"/>
        </w:rPr>
      </w:pPr>
      <w:r>
        <w:br w:type="column"/>
      </w:r>
    </w:p>
    <w:p w:rsidR="006856CD" w:rsidRDefault="00B017FD">
      <w:pPr>
        <w:pStyle w:val="Heading1"/>
        <w:spacing w:line="304" w:lineRule="auto"/>
        <w:ind w:left="140" w:right="4072"/>
      </w:pPr>
      <w:r>
        <w:t>PREFEITURA MUNICIPAL DE BOA VISTA DO CADEADO - RS LEI DE DIRETRIZES ORÇAMENTÁRIAS</w:t>
      </w:r>
    </w:p>
    <w:p w:rsidR="006856CD" w:rsidRDefault="00B017FD">
      <w:pPr>
        <w:spacing w:before="3"/>
        <w:ind w:left="140" w:right="4067"/>
        <w:jc w:val="center"/>
        <w:rPr>
          <w:b/>
          <w:sz w:val="12"/>
        </w:rPr>
      </w:pPr>
      <w:r>
        <w:rPr>
          <w:b/>
          <w:sz w:val="12"/>
        </w:rPr>
        <w:t>ANEXO II</w:t>
      </w:r>
    </w:p>
    <w:p w:rsidR="006856CD" w:rsidRDefault="00B017FD">
      <w:pPr>
        <w:spacing w:before="37" w:line="309" w:lineRule="auto"/>
        <w:ind w:left="998" w:right="4927"/>
        <w:jc w:val="center"/>
        <w:rPr>
          <w:b/>
          <w:sz w:val="12"/>
        </w:rPr>
      </w:pPr>
      <w:r>
        <w:rPr>
          <w:b/>
          <w:sz w:val="12"/>
        </w:rPr>
        <w:t>Receita Corrente Líquida (RCL) 2021 a 2023</w:t>
      </w:r>
    </w:p>
    <w:p w:rsidR="006856CD" w:rsidRDefault="006856CD">
      <w:pPr>
        <w:spacing w:line="309" w:lineRule="auto"/>
        <w:jc w:val="center"/>
        <w:rPr>
          <w:sz w:val="12"/>
        </w:rPr>
        <w:sectPr w:rsidR="006856CD">
          <w:type w:val="continuous"/>
          <w:pgSz w:w="11910" w:h="16840"/>
          <w:pgMar w:top="1120" w:right="1680" w:bottom="280" w:left="260" w:header="720" w:footer="720" w:gutter="0"/>
          <w:cols w:num="2" w:space="720" w:equalWidth="0">
            <w:col w:w="2000" w:space="236"/>
            <w:col w:w="7734"/>
          </w:cols>
        </w:sectPr>
      </w:pPr>
    </w:p>
    <w:p w:rsidR="006856CD" w:rsidRDefault="006856CD">
      <w:pPr>
        <w:pStyle w:val="Corpodetexto"/>
        <w:spacing w:before="1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922"/>
        <w:gridCol w:w="1365"/>
        <w:gridCol w:w="1365"/>
        <w:gridCol w:w="1365"/>
      </w:tblGrid>
      <w:tr w:rsidR="006856CD">
        <w:trPr>
          <w:trHeight w:val="310"/>
        </w:trPr>
        <w:tc>
          <w:tcPr>
            <w:tcW w:w="3922" w:type="dxa"/>
            <w:tcBorders>
              <w:left w:val="nil"/>
            </w:tcBorders>
          </w:tcPr>
          <w:p w:rsidR="006856CD" w:rsidRDefault="00B017FD">
            <w:pPr>
              <w:pStyle w:val="TableParagraph"/>
              <w:spacing w:before="88" w:line="240" w:lineRule="auto"/>
              <w:ind w:left="1465" w:right="14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365" w:type="dxa"/>
          </w:tcPr>
          <w:p w:rsidR="006856CD" w:rsidRDefault="00B017FD">
            <w:pPr>
              <w:pStyle w:val="TableParagraph"/>
              <w:spacing w:before="9" w:line="240" w:lineRule="auto"/>
              <w:ind w:left="530" w:right="4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</w:p>
          <w:p w:rsidR="006856CD" w:rsidRDefault="00B017FD">
            <w:pPr>
              <w:pStyle w:val="TableParagraph"/>
              <w:spacing w:before="20" w:line="123" w:lineRule="exact"/>
              <w:ind w:left="530" w:right="4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(R$)</w:t>
            </w:r>
          </w:p>
        </w:tc>
        <w:tc>
          <w:tcPr>
            <w:tcW w:w="1365" w:type="dxa"/>
            <w:tcBorders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9" w:line="240" w:lineRule="auto"/>
              <w:ind w:left="530" w:right="5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</w:p>
          <w:p w:rsidR="006856CD" w:rsidRDefault="00B017FD">
            <w:pPr>
              <w:pStyle w:val="TableParagraph"/>
              <w:spacing w:before="20" w:line="123" w:lineRule="exact"/>
              <w:ind w:left="530" w:right="5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(R$)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9" w:line="240" w:lineRule="auto"/>
              <w:ind w:left="539" w:right="5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</w:p>
          <w:p w:rsidR="006856CD" w:rsidRDefault="00B017FD">
            <w:pPr>
              <w:pStyle w:val="TableParagraph"/>
              <w:spacing w:before="20" w:line="123" w:lineRule="exact"/>
              <w:ind w:left="539" w:right="5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(R$)</w:t>
            </w:r>
          </w:p>
        </w:tc>
      </w:tr>
      <w:tr w:rsidR="006856CD">
        <w:trPr>
          <w:trHeight w:val="169"/>
        </w:trPr>
        <w:tc>
          <w:tcPr>
            <w:tcW w:w="3922" w:type="dxa"/>
            <w:tcBorders>
              <w:left w:val="nil"/>
            </w:tcBorders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ind w:left="3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 CORRENTES (I)</w:t>
            </w:r>
          </w:p>
        </w:tc>
        <w:tc>
          <w:tcPr>
            <w:tcW w:w="1365" w:type="dxa"/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21.670.278,83</w:t>
            </w:r>
          </w:p>
        </w:tc>
        <w:tc>
          <w:tcPr>
            <w:tcW w:w="1365" w:type="dxa"/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22.412.252,55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23.167.056,99</w:t>
            </w:r>
          </w:p>
        </w:tc>
      </w:tr>
      <w:tr w:rsidR="006856CD">
        <w:trPr>
          <w:trHeight w:val="164"/>
        </w:trPr>
        <w:tc>
          <w:tcPr>
            <w:tcW w:w="3922" w:type="dxa"/>
            <w:tcBorders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1" w:line="133" w:lineRule="exact"/>
              <w:ind w:left="132" w:right="0"/>
              <w:jc w:val="left"/>
              <w:rPr>
                <w:sz w:val="12"/>
              </w:rPr>
            </w:pPr>
            <w:r>
              <w:rPr>
                <w:sz w:val="12"/>
              </w:rPr>
              <w:t>Impostos, Taxas e Contribuições de Melhoria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/>
              <w:ind w:right="-15"/>
              <w:rPr>
                <w:sz w:val="12"/>
              </w:rPr>
            </w:pPr>
            <w:r>
              <w:rPr>
                <w:sz w:val="12"/>
              </w:rPr>
              <w:t>1.320.266,25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1.367.480,32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1.413.701,11</w:t>
            </w:r>
          </w:p>
        </w:tc>
      </w:tr>
      <w:tr w:rsidR="006856CD">
        <w:trPr>
          <w:trHeight w:val="172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 w:line="13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ITR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482.852,44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500.138,53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517.043,22</w:t>
            </w:r>
          </w:p>
        </w:tc>
      </w:tr>
      <w:tr w:rsidR="006856CD">
        <w:trPr>
          <w:trHeight w:val="172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 w:line="13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IPTU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40.573,82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42.026,27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43.446,74</w:t>
            </w:r>
          </w:p>
        </w:tc>
      </w:tr>
      <w:tr w:rsidR="006856CD">
        <w:trPr>
          <w:trHeight w:val="172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 w:line="13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ISS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99.492,30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103.045,70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106.528,64</w:t>
            </w:r>
          </w:p>
        </w:tc>
      </w:tr>
      <w:tr w:rsidR="006856CD">
        <w:trPr>
          <w:trHeight w:val="172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 w:line="13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ITBI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305.565,03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316.504,24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327.202,08</w:t>
            </w:r>
          </w:p>
        </w:tc>
      </w:tr>
      <w:tr w:rsidR="006856CD">
        <w:trPr>
          <w:trHeight w:val="172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 w:line="13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IRRF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305.715,02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316.659,57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327.362,65</w:t>
            </w:r>
          </w:p>
        </w:tc>
      </w:tr>
      <w:tr w:rsidR="006856CD">
        <w:trPr>
          <w:trHeight w:val="172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 w:line="13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Outros Impostos, Taxas e Contribuições de Melhoria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86.067,64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89.106,01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92.117,78</w:t>
            </w:r>
          </w:p>
        </w:tc>
      </w:tr>
      <w:tr w:rsidR="006856CD">
        <w:trPr>
          <w:trHeight w:val="172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 w:line="13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2.323.167.056,99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6856C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Receita Patrimonial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199.216,22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206.348,07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213.322,59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Rendimentos de Aplicação Financeira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162.516,90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168.334,94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174.024,63</w:t>
            </w:r>
          </w:p>
        </w:tc>
      </w:tr>
      <w:tr w:rsidR="006856CD">
        <w:trPr>
          <w:trHeight w:val="151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Outras Receitas Patrimoniais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5"/>
              <w:ind w:right="-15"/>
              <w:rPr>
                <w:sz w:val="12"/>
              </w:rPr>
            </w:pPr>
            <w:r>
              <w:rPr>
                <w:sz w:val="12"/>
              </w:rPr>
              <w:t>36.699,32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38.013,13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39.297,96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Receita Agropecuária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6856C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Receita Industrial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6856C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Receita de Serviços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258.333,29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267.576,72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276.620,79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Transferências Correntes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19.859.423,38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20.536.625,98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21.228.034,36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FPM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8.187.004,10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8.480.098,79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8.766.726,12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ICMS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7.741.270,84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8.018.408,30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8.289.430,50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IPVA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258.028,16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267.265,55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276.299,11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ITR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Transferências da LC 87/1996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53.054,45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54.953,78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56.811,22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Transferências da LC 61/1989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126.099,08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130.613,41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135.028,15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Transferências do FUNDEB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1.358.304,71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1.406.932,01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1.454.486,31</w:t>
            </w:r>
          </w:p>
        </w:tc>
      </w:tr>
      <w:tr w:rsidR="006856CD">
        <w:trPr>
          <w:trHeight w:val="150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7" w:line="123" w:lineRule="exact"/>
              <w:ind w:left="333" w:right="0"/>
              <w:jc w:val="left"/>
              <w:rPr>
                <w:sz w:val="12"/>
              </w:rPr>
            </w:pPr>
            <w:r>
              <w:rPr>
                <w:sz w:val="12"/>
              </w:rPr>
              <w:t>Outras Transferências Correntes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2.135.662,04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2.178.354,14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2.249.252,95</w:t>
            </w:r>
          </w:p>
        </w:tc>
      </w:tr>
      <w:tr w:rsidR="006856CD">
        <w:trPr>
          <w:trHeight w:val="155"/>
        </w:trPr>
        <w:tc>
          <w:tcPr>
            <w:tcW w:w="3922" w:type="dxa"/>
            <w:tcBorders>
              <w:top w:val="single" w:sz="6" w:space="0" w:color="000000"/>
              <w:left w:val="nil"/>
            </w:tcBorders>
          </w:tcPr>
          <w:p w:rsidR="006856CD" w:rsidRDefault="00B017FD">
            <w:pPr>
              <w:pStyle w:val="TableParagraph"/>
              <w:spacing w:before="14" w:line="121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Outras Receitas Correntes</w:t>
            </w:r>
          </w:p>
        </w:tc>
        <w:tc>
          <w:tcPr>
            <w:tcW w:w="1365" w:type="dxa"/>
            <w:tcBorders>
              <w:top w:val="single" w:sz="6" w:space="0" w:color="000000"/>
            </w:tcBorders>
          </w:tcPr>
          <w:p w:rsidR="006856CD" w:rsidRDefault="00B017FD">
            <w:pPr>
              <w:pStyle w:val="TableParagraph"/>
              <w:spacing w:before="2" w:line="133" w:lineRule="exact"/>
              <w:ind w:right="-15"/>
              <w:rPr>
                <w:sz w:val="12"/>
              </w:rPr>
            </w:pPr>
            <w:r>
              <w:rPr>
                <w:sz w:val="12"/>
              </w:rPr>
              <w:t>33.039,69</w:t>
            </w: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" w:line="133" w:lineRule="exact"/>
              <w:rPr>
                <w:sz w:val="12"/>
              </w:rPr>
            </w:pPr>
            <w:r>
              <w:rPr>
                <w:sz w:val="12"/>
              </w:rPr>
              <w:t>34.221,46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" w:line="133" w:lineRule="exact"/>
              <w:rPr>
                <w:sz w:val="12"/>
              </w:rPr>
            </w:pPr>
            <w:r>
              <w:rPr>
                <w:sz w:val="12"/>
              </w:rPr>
              <w:t>35.378,14</w:t>
            </w:r>
          </w:p>
        </w:tc>
      </w:tr>
      <w:tr w:rsidR="006856CD">
        <w:trPr>
          <w:trHeight w:val="169"/>
        </w:trPr>
        <w:tc>
          <w:tcPr>
            <w:tcW w:w="3922" w:type="dxa"/>
            <w:tcBorders>
              <w:left w:val="nil"/>
            </w:tcBorders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ind w:left="3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DEDUÇÕES (II)</w:t>
            </w:r>
          </w:p>
        </w:tc>
        <w:tc>
          <w:tcPr>
            <w:tcW w:w="1365" w:type="dxa"/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3.280.067,17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3.397.493,54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3.512.328,82</w:t>
            </w:r>
          </w:p>
        </w:tc>
      </w:tr>
      <w:tr w:rsidR="006856CD">
        <w:trPr>
          <w:trHeight w:val="164"/>
        </w:trPr>
        <w:tc>
          <w:tcPr>
            <w:tcW w:w="3922" w:type="dxa"/>
            <w:tcBorders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1" w:line="13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Contribuição do Servidor para o Plano de Previdência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856CD">
        <w:trPr>
          <w:trHeight w:val="172"/>
        </w:trPr>
        <w:tc>
          <w:tcPr>
            <w:tcW w:w="392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19" w:line="13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Compensação Financeira entre Regimes Previdência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6856CD">
        <w:trPr>
          <w:trHeight w:val="176"/>
        </w:trPr>
        <w:tc>
          <w:tcPr>
            <w:tcW w:w="3922" w:type="dxa"/>
            <w:tcBorders>
              <w:top w:val="single" w:sz="6" w:space="0" w:color="000000"/>
              <w:left w:val="nil"/>
            </w:tcBorders>
          </w:tcPr>
          <w:p w:rsidR="006856CD" w:rsidRDefault="00B017FD">
            <w:pPr>
              <w:pStyle w:val="TableParagraph"/>
              <w:spacing w:before="24" w:line="133" w:lineRule="exact"/>
              <w:ind w:left="165" w:right="0"/>
              <w:jc w:val="left"/>
              <w:rPr>
                <w:sz w:val="12"/>
              </w:rPr>
            </w:pPr>
            <w:r>
              <w:rPr>
                <w:sz w:val="12"/>
              </w:rPr>
              <w:t>Dedução de Receita para Formação do FUNDEB</w:t>
            </w:r>
          </w:p>
        </w:tc>
        <w:tc>
          <w:tcPr>
            <w:tcW w:w="1365" w:type="dxa"/>
            <w:tcBorders>
              <w:top w:val="single" w:sz="6" w:space="0" w:color="000000"/>
            </w:tcBorders>
          </w:tcPr>
          <w:p w:rsidR="006856CD" w:rsidRDefault="00B017FD">
            <w:pPr>
              <w:pStyle w:val="TableParagraph"/>
              <w:spacing w:before="24" w:line="133" w:lineRule="exact"/>
              <w:ind w:right="-15"/>
              <w:rPr>
                <w:sz w:val="12"/>
              </w:rPr>
            </w:pPr>
            <w:r>
              <w:rPr>
                <w:sz w:val="12"/>
              </w:rPr>
              <w:t>3.280.067,17</w:t>
            </w: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4" w:line="133" w:lineRule="exact"/>
              <w:rPr>
                <w:sz w:val="12"/>
              </w:rPr>
            </w:pPr>
            <w:r>
              <w:rPr>
                <w:sz w:val="12"/>
              </w:rPr>
              <w:t>3.397.493,54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Default="00B017FD">
            <w:pPr>
              <w:pStyle w:val="TableParagraph"/>
              <w:spacing w:before="24" w:line="133" w:lineRule="exact"/>
              <w:rPr>
                <w:sz w:val="12"/>
              </w:rPr>
            </w:pPr>
            <w:r>
              <w:rPr>
                <w:sz w:val="12"/>
              </w:rPr>
              <w:t>3.512.328,82</w:t>
            </w:r>
          </w:p>
        </w:tc>
      </w:tr>
      <w:tr w:rsidR="006856CD">
        <w:trPr>
          <w:trHeight w:val="169"/>
        </w:trPr>
        <w:tc>
          <w:tcPr>
            <w:tcW w:w="3922" w:type="dxa"/>
            <w:tcBorders>
              <w:left w:val="nil"/>
            </w:tcBorders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ind w:left="31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 CORRENTE LÍQUIDA (III) = (I - II)</w:t>
            </w:r>
          </w:p>
        </w:tc>
        <w:tc>
          <w:tcPr>
            <w:tcW w:w="1365" w:type="dxa"/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18.390.211,66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19.014.759,01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6856CD" w:rsidRDefault="00B017FD">
            <w:pPr>
              <w:pStyle w:val="TableParagraph"/>
              <w:spacing w:before="16"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19.654.728,17</w:t>
            </w:r>
          </w:p>
        </w:tc>
      </w:tr>
    </w:tbl>
    <w:p w:rsidR="006856CD" w:rsidRDefault="00B017FD">
      <w:pPr>
        <w:spacing w:before="1"/>
        <w:ind w:left="138"/>
        <w:rPr>
          <w:b/>
          <w:sz w:val="12"/>
        </w:rPr>
      </w:pPr>
      <w:r>
        <w:rPr>
          <w:b/>
          <w:sz w:val="12"/>
        </w:rPr>
        <w:t>FONTE: Planejamento - LDO 2.027/001, Secretaria Municipal de Administração, Planejamento e Fazenda, 03/08/2020, 11:21:01</w:t>
      </w:r>
    </w:p>
    <w:p w:rsidR="006856CD" w:rsidRDefault="006856CD">
      <w:pPr>
        <w:pStyle w:val="Corpodetexto"/>
        <w:spacing w:before="2"/>
        <w:rPr>
          <w:b/>
          <w:sz w:val="11"/>
        </w:rPr>
      </w:pPr>
    </w:p>
    <w:p w:rsidR="006856CD" w:rsidRDefault="00B017FD">
      <w:pPr>
        <w:spacing w:before="99"/>
        <w:ind w:left="138"/>
        <w:rPr>
          <w:b/>
          <w:sz w:val="12"/>
        </w:rPr>
      </w:pPr>
      <w:r>
        <w:rPr>
          <w:b/>
          <w:sz w:val="12"/>
        </w:rPr>
        <w:t>Notas:</w:t>
      </w:r>
    </w:p>
    <w:p w:rsidR="006856CD" w:rsidRDefault="00B017FD">
      <w:pPr>
        <w:pStyle w:val="PargrafodaLista"/>
        <w:numPr>
          <w:ilvl w:val="0"/>
          <w:numId w:val="1"/>
        </w:numPr>
        <w:tabs>
          <w:tab w:val="left" w:pos="281"/>
        </w:tabs>
        <w:spacing w:before="34" w:line="288" w:lineRule="auto"/>
        <w:ind w:right="2289" w:firstLine="0"/>
        <w:rPr>
          <w:sz w:val="12"/>
        </w:rPr>
      </w:pPr>
      <w:r>
        <w:rPr>
          <w:sz w:val="12"/>
        </w:rPr>
        <w:t>Conforme a LRF, a RCL é o somatório das receitas tributárias, de contribuições, patrimoniais, agropecuárias, industriais, de se</w:t>
      </w:r>
      <w:r>
        <w:rPr>
          <w:sz w:val="12"/>
        </w:rPr>
        <w:t>rviços, transferências correntes e outras receitas correntes do ente da Federação, deduzidos alguns itens exaustivamente explicitados pela própria LRF, não cabendo interpretações que extrapolem os dispositivos legais (RREO pág.</w:t>
      </w:r>
      <w:r>
        <w:rPr>
          <w:spacing w:val="5"/>
          <w:sz w:val="12"/>
        </w:rPr>
        <w:t xml:space="preserve"> </w:t>
      </w:r>
      <w:r>
        <w:rPr>
          <w:sz w:val="12"/>
        </w:rPr>
        <w:t>169)</w:t>
      </w:r>
    </w:p>
    <w:p w:rsidR="006856CD" w:rsidRDefault="006856CD">
      <w:pPr>
        <w:pStyle w:val="Corpodetexto"/>
        <w:spacing w:before="5"/>
        <w:rPr>
          <w:sz w:val="14"/>
        </w:rPr>
      </w:pPr>
    </w:p>
    <w:p w:rsidR="006856CD" w:rsidRDefault="00B017FD">
      <w:pPr>
        <w:pStyle w:val="PargrafodaLista"/>
        <w:numPr>
          <w:ilvl w:val="0"/>
          <w:numId w:val="1"/>
        </w:numPr>
        <w:tabs>
          <w:tab w:val="left" w:pos="281"/>
        </w:tabs>
        <w:spacing w:line="288" w:lineRule="auto"/>
        <w:ind w:firstLine="0"/>
        <w:rPr>
          <w:sz w:val="12"/>
        </w:rPr>
      </w:pPr>
      <w:r>
        <w:rPr>
          <w:sz w:val="12"/>
        </w:rPr>
        <w:t xml:space="preserve">Portanto, as receitas </w:t>
      </w:r>
      <w:r>
        <w:rPr>
          <w:sz w:val="12"/>
        </w:rPr>
        <w:t>intra-orçamentárias (contrapartida da modalidade 91) deverão ser excluídas do cálculo por caracterizarem duplicidades, uma vez que representam operações entre entidades integrantes do mesmo orçamento fiscal e da seguridade social . Ou seja, as receitas int</w:t>
      </w:r>
      <w:r>
        <w:rPr>
          <w:sz w:val="12"/>
        </w:rPr>
        <w:t>ra- orçamentárias não poderão ser computadas nas linhas referentes ás receitas correntes brutas e também não poderão ser deduzidas. Nesse contexto, a contribuição patronal para o Regime Próprio de Previdência dos Servidores - RPPS, por configurar uma dupli</w:t>
      </w:r>
      <w:r>
        <w:rPr>
          <w:sz w:val="12"/>
        </w:rPr>
        <w:t>cidade, não será computada na linha Receita de Contribuições e não será deduzida. Por outro lado, a contribuição dos servidores para o RPPS será computada  na linha Receita de Contribuições e será deduzidas. (RREO, pág.</w:t>
      </w:r>
      <w:r>
        <w:rPr>
          <w:spacing w:val="-6"/>
          <w:sz w:val="12"/>
        </w:rPr>
        <w:t xml:space="preserve"> </w:t>
      </w:r>
      <w:r>
        <w:rPr>
          <w:sz w:val="12"/>
        </w:rPr>
        <w:t>170)</w:t>
      </w:r>
    </w:p>
    <w:p w:rsidR="006856CD" w:rsidRDefault="006856CD">
      <w:pPr>
        <w:pStyle w:val="Corpodetexto"/>
        <w:spacing w:before="4"/>
        <w:rPr>
          <w:sz w:val="14"/>
        </w:rPr>
      </w:pPr>
    </w:p>
    <w:p w:rsidR="006856CD" w:rsidRDefault="00B017FD">
      <w:pPr>
        <w:pStyle w:val="PargrafodaLista"/>
        <w:numPr>
          <w:ilvl w:val="0"/>
          <w:numId w:val="1"/>
        </w:numPr>
        <w:tabs>
          <w:tab w:val="left" w:pos="310"/>
        </w:tabs>
        <w:spacing w:before="1" w:line="288" w:lineRule="auto"/>
        <w:ind w:right="2587" w:firstLine="0"/>
        <w:rPr>
          <w:sz w:val="12"/>
        </w:rPr>
      </w:pPr>
      <w:r>
        <w:rPr>
          <w:sz w:val="12"/>
        </w:rPr>
        <w:t>As receitas, em todos os seus detalhamentos, deverão ser registradas pelo seu valor líquido de deduções( restituições, descontos, retificações e outras). (RREO, pág.</w:t>
      </w:r>
      <w:r>
        <w:rPr>
          <w:spacing w:val="-3"/>
          <w:sz w:val="12"/>
        </w:rPr>
        <w:t xml:space="preserve"> </w:t>
      </w:r>
      <w:r>
        <w:rPr>
          <w:sz w:val="12"/>
        </w:rPr>
        <w:t>173)</w:t>
      </w:r>
    </w:p>
    <w:p w:rsidR="006856CD" w:rsidRDefault="006856CD">
      <w:pPr>
        <w:pStyle w:val="Corpodetexto"/>
        <w:spacing w:before="4"/>
        <w:rPr>
          <w:sz w:val="14"/>
        </w:rPr>
      </w:pPr>
    </w:p>
    <w:p w:rsidR="006856CD" w:rsidRDefault="00B017FD">
      <w:pPr>
        <w:pStyle w:val="PargrafodaLista"/>
        <w:numPr>
          <w:ilvl w:val="0"/>
          <w:numId w:val="1"/>
        </w:numPr>
        <w:tabs>
          <w:tab w:val="left" w:pos="281"/>
        </w:tabs>
        <w:spacing w:line="288" w:lineRule="auto"/>
        <w:ind w:right="2332" w:firstLine="0"/>
        <w:rPr>
          <w:sz w:val="12"/>
        </w:rPr>
      </w:pPr>
      <w:r>
        <w:rPr>
          <w:sz w:val="12"/>
        </w:rPr>
        <w:t xml:space="preserve">Para tanto, deve-se, prudentemente, evitar que receitas de caráter temporário, tais </w:t>
      </w:r>
      <w:r>
        <w:rPr>
          <w:sz w:val="12"/>
        </w:rPr>
        <w:t>como royalties,dêem margem á criação de despesas obrigatórias de caráter continuado, tais como despesas com pessoal, em nível incompátivel com o equilíbrio das contas públicas quando essas receitas cessarem. (RREO, pág. 175)</w:t>
      </w:r>
    </w:p>
    <w:p w:rsidR="006856CD" w:rsidRDefault="006856CD">
      <w:pPr>
        <w:pStyle w:val="Corpodetexto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379"/>
        <w:gridCol w:w="2917"/>
        <w:gridCol w:w="1874"/>
      </w:tblGrid>
      <w:tr w:rsidR="006856CD">
        <w:trPr>
          <w:trHeight w:val="316"/>
        </w:trPr>
        <w:tc>
          <w:tcPr>
            <w:tcW w:w="3379" w:type="dxa"/>
          </w:tcPr>
          <w:p w:rsidR="006856CD" w:rsidRDefault="00B017FD">
            <w:pPr>
              <w:pStyle w:val="TableParagraph"/>
              <w:spacing w:before="0" w:line="136" w:lineRule="exact"/>
              <w:ind w:left="30" w:right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Boa Vista do Cadeado - RS, 03 </w:t>
            </w:r>
            <w:r>
              <w:rPr>
                <w:sz w:val="12"/>
              </w:rPr>
              <w:t>de agosto de 2020.</w:t>
            </w:r>
          </w:p>
        </w:tc>
        <w:tc>
          <w:tcPr>
            <w:tcW w:w="4791" w:type="dxa"/>
            <w:gridSpan w:val="2"/>
          </w:tcPr>
          <w:p w:rsidR="006856CD" w:rsidRDefault="006856C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 w:rsidR="006856CD">
        <w:trPr>
          <w:trHeight w:val="331"/>
        </w:trPr>
        <w:tc>
          <w:tcPr>
            <w:tcW w:w="3379" w:type="dxa"/>
          </w:tcPr>
          <w:p w:rsidR="006856CD" w:rsidRDefault="006856CD">
            <w:pPr>
              <w:pStyle w:val="TableParagraph"/>
              <w:spacing w:before="5" w:line="240" w:lineRule="auto"/>
              <w:ind w:right="0"/>
              <w:jc w:val="left"/>
              <w:rPr>
                <w:sz w:val="15"/>
              </w:rPr>
            </w:pPr>
          </w:p>
          <w:p w:rsidR="006856CD" w:rsidRDefault="00B017FD">
            <w:pPr>
              <w:pStyle w:val="TableParagraph"/>
              <w:spacing w:before="0" w:line="133" w:lineRule="exact"/>
              <w:ind w:left="30" w:right="0"/>
              <w:jc w:val="left"/>
              <w:rPr>
                <w:sz w:val="12"/>
              </w:rPr>
            </w:pPr>
            <w:r>
              <w:rPr>
                <w:sz w:val="12"/>
              </w:rPr>
              <w:t>Fabio Mayer Barasuol,</w:t>
            </w:r>
          </w:p>
        </w:tc>
        <w:tc>
          <w:tcPr>
            <w:tcW w:w="2917" w:type="dxa"/>
          </w:tcPr>
          <w:p w:rsidR="006856CD" w:rsidRDefault="006856CD">
            <w:pPr>
              <w:pStyle w:val="TableParagraph"/>
              <w:spacing w:before="5" w:line="240" w:lineRule="auto"/>
              <w:ind w:right="0"/>
              <w:jc w:val="left"/>
              <w:rPr>
                <w:sz w:val="15"/>
              </w:rPr>
            </w:pPr>
          </w:p>
          <w:p w:rsidR="006856CD" w:rsidRDefault="00B017FD">
            <w:pPr>
              <w:pStyle w:val="TableParagraph"/>
              <w:spacing w:before="0" w:line="133" w:lineRule="exact"/>
              <w:ind w:left="583" w:right="0"/>
              <w:jc w:val="left"/>
              <w:rPr>
                <w:sz w:val="12"/>
              </w:rPr>
            </w:pPr>
            <w:r>
              <w:rPr>
                <w:sz w:val="12"/>
              </w:rPr>
              <w:t>Vanessa dos Santos Xavier Padilha</w:t>
            </w:r>
          </w:p>
        </w:tc>
        <w:tc>
          <w:tcPr>
            <w:tcW w:w="1874" w:type="dxa"/>
          </w:tcPr>
          <w:p w:rsidR="006856CD" w:rsidRDefault="006856CD">
            <w:pPr>
              <w:pStyle w:val="TableParagraph"/>
              <w:spacing w:before="5" w:line="240" w:lineRule="auto"/>
              <w:ind w:right="0"/>
              <w:jc w:val="left"/>
              <w:rPr>
                <w:sz w:val="15"/>
              </w:rPr>
            </w:pPr>
          </w:p>
          <w:p w:rsidR="006856CD" w:rsidRDefault="00B017FD">
            <w:pPr>
              <w:pStyle w:val="TableParagraph"/>
              <w:spacing w:before="0" w:line="133" w:lineRule="exact"/>
              <w:ind w:left="397" w:right="0"/>
              <w:jc w:val="left"/>
              <w:rPr>
                <w:sz w:val="12"/>
              </w:rPr>
            </w:pPr>
            <w:r>
              <w:rPr>
                <w:sz w:val="12"/>
              </w:rPr>
              <w:t>Fabio da Silva Weischung,</w:t>
            </w:r>
          </w:p>
        </w:tc>
      </w:tr>
      <w:tr w:rsidR="006856CD">
        <w:trPr>
          <w:trHeight w:val="172"/>
        </w:trPr>
        <w:tc>
          <w:tcPr>
            <w:tcW w:w="3379" w:type="dxa"/>
          </w:tcPr>
          <w:p w:rsidR="006856CD" w:rsidRDefault="00B017FD">
            <w:pPr>
              <w:pStyle w:val="TableParagraph"/>
              <w:spacing w:before="12" w:line="240" w:lineRule="auto"/>
              <w:ind w:left="30" w:right="0"/>
              <w:jc w:val="left"/>
              <w:rPr>
                <w:sz w:val="12"/>
              </w:rPr>
            </w:pPr>
            <w:r>
              <w:rPr>
                <w:sz w:val="12"/>
              </w:rPr>
              <w:t>Prefeito Municipal.</w:t>
            </w:r>
          </w:p>
        </w:tc>
        <w:tc>
          <w:tcPr>
            <w:tcW w:w="2917" w:type="dxa"/>
          </w:tcPr>
          <w:p w:rsidR="006856CD" w:rsidRDefault="00B017FD">
            <w:pPr>
              <w:pStyle w:val="TableParagraph"/>
              <w:spacing w:before="12" w:line="240" w:lineRule="auto"/>
              <w:ind w:left="583" w:right="0"/>
              <w:jc w:val="left"/>
              <w:rPr>
                <w:sz w:val="12"/>
              </w:rPr>
            </w:pPr>
            <w:r>
              <w:rPr>
                <w:sz w:val="12"/>
              </w:rPr>
              <w:t>Sec. Adm. Planej e Fazenda.</w:t>
            </w:r>
          </w:p>
        </w:tc>
        <w:tc>
          <w:tcPr>
            <w:tcW w:w="1874" w:type="dxa"/>
          </w:tcPr>
          <w:p w:rsidR="006856CD" w:rsidRDefault="00B017FD">
            <w:pPr>
              <w:pStyle w:val="TableParagraph"/>
              <w:spacing w:before="12" w:line="240" w:lineRule="auto"/>
              <w:ind w:left="397" w:right="0"/>
              <w:jc w:val="left"/>
              <w:rPr>
                <w:sz w:val="12"/>
              </w:rPr>
            </w:pPr>
            <w:r>
              <w:rPr>
                <w:sz w:val="12"/>
              </w:rPr>
              <w:t>Técnico em Contabilidade.</w:t>
            </w:r>
          </w:p>
        </w:tc>
      </w:tr>
      <w:tr w:rsidR="006856CD">
        <w:trPr>
          <w:trHeight w:val="158"/>
        </w:trPr>
        <w:tc>
          <w:tcPr>
            <w:tcW w:w="3379" w:type="dxa"/>
          </w:tcPr>
          <w:p w:rsidR="006856CD" w:rsidRDefault="006856C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917" w:type="dxa"/>
          </w:tcPr>
          <w:p w:rsidR="006856CD" w:rsidRDefault="006856C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74" w:type="dxa"/>
          </w:tcPr>
          <w:p w:rsidR="006856CD" w:rsidRDefault="00B017FD">
            <w:pPr>
              <w:pStyle w:val="TableParagraph"/>
              <w:spacing w:before="20" w:line="118" w:lineRule="exact"/>
              <w:ind w:left="397" w:right="0"/>
              <w:jc w:val="left"/>
              <w:rPr>
                <w:sz w:val="12"/>
              </w:rPr>
            </w:pPr>
            <w:r>
              <w:rPr>
                <w:sz w:val="12"/>
              </w:rPr>
              <w:t>CRC/RS 076956-7</w:t>
            </w:r>
          </w:p>
        </w:tc>
      </w:tr>
    </w:tbl>
    <w:p w:rsidR="00000000" w:rsidRDefault="00B017FD"/>
    <w:sectPr w:rsidR="00000000" w:rsidSect="006856CD">
      <w:type w:val="continuous"/>
      <w:pgSz w:w="11910" w:h="16840"/>
      <w:pgMar w:top="1120" w:right="16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78E"/>
    <w:multiLevelType w:val="hybridMultilevel"/>
    <w:tmpl w:val="9898A73E"/>
    <w:lvl w:ilvl="0" w:tplc="71B8F842">
      <w:start w:val="1"/>
      <w:numFmt w:val="lowerLetter"/>
      <w:lvlText w:val="%1)"/>
      <w:lvlJc w:val="left"/>
      <w:pPr>
        <w:ind w:left="138" w:hanging="142"/>
        <w:jc w:val="left"/>
      </w:pPr>
      <w:rPr>
        <w:rFonts w:ascii="Arial" w:eastAsia="Arial" w:hAnsi="Arial" w:cs="Arial" w:hint="default"/>
        <w:spacing w:val="-1"/>
        <w:w w:val="101"/>
        <w:sz w:val="12"/>
        <w:szCs w:val="12"/>
        <w:lang w:val="pt-PT" w:eastAsia="pt-PT" w:bidi="pt-PT"/>
      </w:rPr>
    </w:lvl>
    <w:lvl w:ilvl="1" w:tplc="8EFA6F28">
      <w:numFmt w:val="bullet"/>
      <w:lvlText w:val="•"/>
      <w:lvlJc w:val="left"/>
      <w:pPr>
        <w:ind w:left="1122" w:hanging="142"/>
      </w:pPr>
      <w:rPr>
        <w:rFonts w:hint="default"/>
        <w:lang w:val="pt-PT" w:eastAsia="pt-PT" w:bidi="pt-PT"/>
      </w:rPr>
    </w:lvl>
    <w:lvl w:ilvl="2" w:tplc="B26A277C">
      <w:numFmt w:val="bullet"/>
      <w:lvlText w:val="•"/>
      <w:lvlJc w:val="left"/>
      <w:pPr>
        <w:ind w:left="2105" w:hanging="142"/>
      </w:pPr>
      <w:rPr>
        <w:rFonts w:hint="default"/>
        <w:lang w:val="pt-PT" w:eastAsia="pt-PT" w:bidi="pt-PT"/>
      </w:rPr>
    </w:lvl>
    <w:lvl w:ilvl="3" w:tplc="296A1CEA">
      <w:numFmt w:val="bullet"/>
      <w:lvlText w:val="•"/>
      <w:lvlJc w:val="left"/>
      <w:pPr>
        <w:ind w:left="3087" w:hanging="142"/>
      </w:pPr>
      <w:rPr>
        <w:rFonts w:hint="default"/>
        <w:lang w:val="pt-PT" w:eastAsia="pt-PT" w:bidi="pt-PT"/>
      </w:rPr>
    </w:lvl>
    <w:lvl w:ilvl="4" w:tplc="9D7AEEB6">
      <w:numFmt w:val="bullet"/>
      <w:lvlText w:val="•"/>
      <w:lvlJc w:val="left"/>
      <w:pPr>
        <w:ind w:left="4070" w:hanging="142"/>
      </w:pPr>
      <w:rPr>
        <w:rFonts w:hint="default"/>
        <w:lang w:val="pt-PT" w:eastAsia="pt-PT" w:bidi="pt-PT"/>
      </w:rPr>
    </w:lvl>
    <w:lvl w:ilvl="5" w:tplc="6C52073A">
      <w:numFmt w:val="bullet"/>
      <w:lvlText w:val="•"/>
      <w:lvlJc w:val="left"/>
      <w:pPr>
        <w:ind w:left="5053" w:hanging="142"/>
      </w:pPr>
      <w:rPr>
        <w:rFonts w:hint="default"/>
        <w:lang w:val="pt-PT" w:eastAsia="pt-PT" w:bidi="pt-PT"/>
      </w:rPr>
    </w:lvl>
    <w:lvl w:ilvl="6" w:tplc="95AEBA30">
      <w:numFmt w:val="bullet"/>
      <w:lvlText w:val="•"/>
      <w:lvlJc w:val="left"/>
      <w:pPr>
        <w:ind w:left="6035" w:hanging="142"/>
      </w:pPr>
      <w:rPr>
        <w:rFonts w:hint="default"/>
        <w:lang w:val="pt-PT" w:eastAsia="pt-PT" w:bidi="pt-PT"/>
      </w:rPr>
    </w:lvl>
    <w:lvl w:ilvl="7" w:tplc="36523E10">
      <w:numFmt w:val="bullet"/>
      <w:lvlText w:val="•"/>
      <w:lvlJc w:val="left"/>
      <w:pPr>
        <w:ind w:left="7018" w:hanging="142"/>
      </w:pPr>
      <w:rPr>
        <w:rFonts w:hint="default"/>
        <w:lang w:val="pt-PT" w:eastAsia="pt-PT" w:bidi="pt-PT"/>
      </w:rPr>
    </w:lvl>
    <w:lvl w:ilvl="8" w:tplc="7034E6EA">
      <w:numFmt w:val="bullet"/>
      <w:lvlText w:val="•"/>
      <w:lvlJc w:val="left"/>
      <w:pPr>
        <w:ind w:left="8001" w:hanging="14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856CD"/>
    <w:rsid w:val="006856CD"/>
    <w:rsid w:val="00B0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56C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56CD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6856CD"/>
    <w:pPr>
      <w:ind w:left="138"/>
      <w:jc w:val="center"/>
      <w:outlineLvl w:val="1"/>
    </w:pPr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6856CD"/>
    <w:pPr>
      <w:ind w:left="138" w:right="2043"/>
    </w:pPr>
  </w:style>
  <w:style w:type="paragraph" w:customStyle="1" w:styleId="TableParagraph">
    <w:name w:val="Table Paragraph"/>
    <w:basedOn w:val="Normal"/>
    <w:uiPriority w:val="1"/>
    <w:qFormat/>
    <w:rsid w:val="006856CD"/>
    <w:pPr>
      <w:spacing w:before="4" w:line="126" w:lineRule="exact"/>
      <w:ind w:right="1"/>
      <w:jc w:val="righ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1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F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2020-09-01T16:52:00Z</dcterms:created>
  <dcterms:modified xsi:type="dcterms:W3CDTF">2020-09-01T16:52:00Z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