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6" w:right="0" w:firstLine="0"/>
        <w:jc w:val="left"/>
        <w:rPr>
          <w:sz w:val="24"/>
        </w:rPr>
      </w:pPr>
      <w:r>
        <w:rPr>
          <w:w w:val="110"/>
          <w:sz w:val="24"/>
        </w:rPr>
        <w:t>Estado do Rio Grande do Sul</w:t>
      </w:r>
    </w:p>
    <w:p>
      <w:pPr>
        <w:spacing w:line="316" w:lineRule="auto" w:before="55"/>
        <w:ind w:left="16" w:right="6846" w:firstLine="0"/>
        <w:jc w:val="left"/>
        <w:rPr>
          <w:rFonts w:ascii="Microsoft Sans Serif" w:hAnsi="Microsoft Sans Serif"/>
          <w:sz w:val="21"/>
        </w:rPr>
      </w:pPr>
      <w:r>
        <w:rPr>
          <w:sz w:val="24"/>
        </w:rPr>
        <w:t>MUNICÍPIO DE BOA VISTA DO CADEADO </w:t>
      </w:r>
      <w:r>
        <w:rPr>
          <w:rFonts w:ascii="Microsoft Sans Serif" w:hAnsi="Microsoft Sans Serif"/>
          <w:sz w:val="21"/>
        </w:rPr>
        <w:t>LEI DE DIRETRIZES ORÇAMENTÁRIAS 2018 ANEXO DE METAS FISCAIS</w:t>
      </w:r>
    </w:p>
    <w:p>
      <w:pPr>
        <w:spacing w:before="12"/>
        <w:ind w:left="16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95"/>
          <w:sz w:val="21"/>
        </w:rPr>
        <w:t>I DEMONSTRATIVO DAS </w:t>
      </w:r>
      <w:r>
        <w:rPr>
          <w:rFonts w:ascii="Microsoft Sans Serif" w:hAnsi="Microsoft Sans Serif"/>
          <w:spacing w:val="-3"/>
          <w:w w:val="95"/>
          <w:sz w:val="21"/>
        </w:rPr>
        <w:t>METAS </w:t>
      </w:r>
      <w:r>
        <w:rPr>
          <w:rFonts w:ascii="Microsoft Sans Serif" w:hAnsi="Microsoft Sans Serif"/>
          <w:w w:val="95"/>
          <w:sz w:val="21"/>
        </w:rPr>
        <w:t>FISCAIS </w:t>
      </w:r>
      <w:r>
        <w:rPr>
          <w:rFonts w:ascii="Microsoft Sans Serif" w:hAnsi="Microsoft Sans Serif"/>
          <w:spacing w:val="-3"/>
          <w:w w:val="95"/>
          <w:sz w:val="21"/>
        </w:rPr>
        <w:t>ATUAIS </w:t>
      </w:r>
      <w:r>
        <w:rPr>
          <w:rFonts w:ascii="Microsoft Sans Serif" w:hAnsi="Microsoft Sans Serif"/>
          <w:w w:val="95"/>
          <w:sz w:val="21"/>
        </w:rPr>
        <w:t>COMPARADAS COM AS FIXADAS NOS TRÊS EXERCÍCIOS ANTERIORES</w:t>
      </w:r>
    </w:p>
    <w:p>
      <w:pPr>
        <w:spacing w:before="85"/>
        <w:ind w:left="16" w:right="0" w:firstLine="0"/>
        <w:jc w:val="left"/>
        <w:rPr>
          <w:sz w:val="11"/>
        </w:rPr>
      </w:pPr>
      <w:r>
        <w:rPr>
          <w:w w:val="110"/>
          <w:sz w:val="11"/>
        </w:rPr>
        <w:t>Seleção: Alteração em 01/01/2018 (C)</w:t>
      </w:r>
    </w:p>
    <w:p>
      <w:pPr>
        <w:pStyle w:val="BodyText"/>
        <w:spacing w:before="21"/>
        <w:ind w:left="16"/>
      </w:pPr>
      <w:r>
        <w:rPr/>
        <w:br w:type="column"/>
      </w:r>
      <w:r>
        <w:rPr/>
        <w:t>Página: 1/1</w:t>
      </w:r>
    </w:p>
    <w:p>
      <w:pPr>
        <w:spacing w:after="0"/>
        <w:sectPr>
          <w:type w:val="continuous"/>
          <w:pgSz w:w="16840" w:h="11900" w:orient="landscape"/>
          <w:pgMar w:top="0" w:bottom="0" w:left="0" w:right="760"/>
          <w:cols w:num="2" w:equalWidth="0">
            <w:col w:w="11563" w:space="3449"/>
            <w:col w:w="1068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tabs>
          <w:tab w:pos="15477" w:val="left" w:leader="none"/>
        </w:tabs>
        <w:spacing w:before="81" w:after="38"/>
        <w:ind w:left="256" w:right="0" w:firstLine="0"/>
        <w:jc w:val="left"/>
        <w:rPr>
          <w:sz w:val="13"/>
        </w:rPr>
      </w:pPr>
      <w:r>
        <w:rPr>
          <w:spacing w:val="-4"/>
          <w:w w:val="105"/>
          <w:sz w:val="13"/>
        </w:rPr>
        <w:t>LRF, </w:t>
      </w:r>
      <w:r>
        <w:rPr>
          <w:w w:val="105"/>
          <w:sz w:val="13"/>
        </w:rPr>
        <w:t>art 4º,</w:t>
      </w:r>
      <w:r>
        <w:rPr>
          <w:spacing w:val="8"/>
          <w:w w:val="105"/>
          <w:sz w:val="13"/>
        </w:rPr>
        <w:t> </w:t>
      </w:r>
      <w:r>
        <w:rPr>
          <w:w w:val="105"/>
          <w:sz w:val="13"/>
        </w:rPr>
        <w:t>§</w:t>
      </w:r>
      <w:r>
        <w:rPr>
          <w:spacing w:val="0"/>
          <w:w w:val="105"/>
          <w:sz w:val="13"/>
        </w:rPr>
        <w:t> </w:t>
      </w:r>
      <w:r>
        <w:rPr>
          <w:w w:val="105"/>
          <w:sz w:val="13"/>
        </w:rPr>
        <w:t>1º</w:t>
        <w:tab/>
        <w:t>R$</w:t>
      </w:r>
      <w:r>
        <w:rPr>
          <w:spacing w:val="0"/>
          <w:w w:val="105"/>
          <w:sz w:val="13"/>
        </w:rPr>
        <w:t> </w:t>
      </w:r>
      <w:r>
        <w:rPr>
          <w:w w:val="105"/>
          <w:sz w:val="13"/>
        </w:rPr>
        <w:t>1,00</w:t>
      </w: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243"/>
        <w:gridCol w:w="1245"/>
        <w:gridCol w:w="1231"/>
        <w:gridCol w:w="1229"/>
        <w:gridCol w:w="1231"/>
        <w:gridCol w:w="1229"/>
        <w:gridCol w:w="1246"/>
        <w:gridCol w:w="1229"/>
        <w:gridCol w:w="1231"/>
        <w:gridCol w:w="1229"/>
        <w:gridCol w:w="1277"/>
      </w:tblGrid>
      <w:tr>
        <w:trPr>
          <w:trHeight w:val="316" w:hRule="atLeast"/>
        </w:trPr>
        <w:tc>
          <w:tcPr>
            <w:tcW w:w="210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367" w:right="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Especificação</w:t>
            </w:r>
          </w:p>
        </w:tc>
        <w:tc>
          <w:tcPr>
            <w:tcW w:w="13620" w:type="dxa"/>
            <w:gridSpan w:val="11"/>
            <w:tcBorders>
              <w:right w:val="nil"/>
            </w:tcBorders>
          </w:tcPr>
          <w:p>
            <w:pPr>
              <w:pStyle w:val="TableParagraph"/>
              <w:spacing w:before="98"/>
              <w:ind w:left="5133" w:right="6432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Valores a  Preços Correntes</w:t>
            </w:r>
          </w:p>
        </w:tc>
      </w:tr>
      <w:tr>
        <w:trPr>
          <w:trHeight w:val="299" w:hRule="atLeast"/>
        </w:trPr>
        <w:tc>
          <w:tcPr>
            <w:tcW w:w="21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81"/>
              <w:ind w:left="456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1245" w:type="dxa"/>
          </w:tcPr>
          <w:p>
            <w:pPr>
              <w:pStyle w:val="TableParagraph"/>
              <w:spacing w:before="81"/>
              <w:ind w:left="456" w:right="4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5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39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5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39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1246" w:type="dxa"/>
          </w:tcPr>
          <w:p>
            <w:pPr>
              <w:pStyle w:val="TableParagraph"/>
              <w:spacing w:before="81"/>
              <w:ind w:left="29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40" w:right="4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40" w:right="4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spacing w:before="81"/>
              <w:ind w:right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</w:tr>
      <w:tr>
        <w:trPr>
          <w:trHeight w:val="236" w:hRule="atLeast"/>
        </w:trPr>
        <w:tc>
          <w:tcPr>
            <w:tcW w:w="210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 Total</w:t>
            </w: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15.318.290,45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17.569.378,31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14,700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14.393.262,23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(18,080)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16,720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Receitas Primárias (I)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15.069.205,25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17.239.485,91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14,400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14.079.754,39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(18,330)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16.485.708,52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17,090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17.199.539,70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4,330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17.927.080,23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4,230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 Total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15.318.290,45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17.569.378,31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14,700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14.393.262,23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(18,080)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16,720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5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Despesas Primárias (II)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13.959.911,60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14.728.941,64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5,510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14.075.657,36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(4,440)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19,350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2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Resultado Primário III = (I-II)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1.109.293,65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2.510.544,27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126,320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4.097,03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(99,840)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(314.291,48)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(7.771,200)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(325.460,30)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3,550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(342.919,77)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5,360</w:t>
            </w:r>
          </w:p>
        </w:tc>
      </w:tr>
      <w:tr>
        <w:trPr>
          <w:trHeight w:val="197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Resultado Nominal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(213.475,66)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(2.035.680,71)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853,590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(100,000)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Dívida Pública Consolidada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100" w:type="dxa"/>
            <w:tcBorders>
              <w:top w:val="nil"/>
              <w:left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Dívida Consolidada Líquida</w:t>
            </w:r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243"/>
        <w:gridCol w:w="1245"/>
        <w:gridCol w:w="1231"/>
        <w:gridCol w:w="1229"/>
        <w:gridCol w:w="1231"/>
        <w:gridCol w:w="1229"/>
        <w:gridCol w:w="1246"/>
        <w:gridCol w:w="1229"/>
        <w:gridCol w:w="1231"/>
        <w:gridCol w:w="1229"/>
        <w:gridCol w:w="1277"/>
      </w:tblGrid>
      <w:tr>
        <w:trPr>
          <w:trHeight w:val="316" w:hRule="atLeast"/>
        </w:trPr>
        <w:tc>
          <w:tcPr>
            <w:tcW w:w="210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367" w:right="0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Especificação</w:t>
            </w:r>
          </w:p>
        </w:tc>
        <w:tc>
          <w:tcPr>
            <w:tcW w:w="13620" w:type="dxa"/>
            <w:gridSpan w:val="11"/>
            <w:tcBorders>
              <w:right w:val="nil"/>
            </w:tcBorders>
          </w:tcPr>
          <w:p>
            <w:pPr>
              <w:pStyle w:val="TableParagraph"/>
              <w:spacing w:before="98"/>
              <w:ind w:left="5162" w:right="6432"/>
              <w:jc w:val="center"/>
              <w:rPr>
                <w:sz w:val="13"/>
              </w:rPr>
            </w:pPr>
            <w:r>
              <w:rPr>
                <w:w w:val="115"/>
                <w:sz w:val="13"/>
              </w:rPr>
              <w:t>Valores a  Preços Constantes</w:t>
            </w:r>
          </w:p>
        </w:tc>
      </w:tr>
      <w:tr>
        <w:trPr>
          <w:trHeight w:val="299" w:hRule="atLeast"/>
        </w:trPr>
        <w:tc>
          <w:tcPr>
            <w:tcW w:w="21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81"/>
              <w:ind w:left="456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2015</w:t>
            </w:r>
          </w:p>
        </w:tc>
        <w:tc>
          <w:tcPr>
            <w:tcW w:w="1245" w:type="dxa"/>
          </w:tcPr>
          <w:p>
            <w:pPr>
              <w:pStyle w:val="TableParagraph"/>
              <w:spacing w:before="81"/>
              <w:ind w:left="456" w:right="4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2016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5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39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2017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5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39" w:right="4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2018</w:t>
            </w:r>
          </w:p>
        </w:tc>
        <w:tc>
          <w:tcPr>
            <w:tcW w:w="1246" w:type="dxa"/>
          </w:tcPr>
          <w:p>
            <w:pPr>
              <w:pStyle w:val="TableParagraph"/>
              <w:spacing w:before="81"/>
              <w:ind w:left="29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40" w:right="4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2019</w:t>
            </w:r>
          </w:p>
        </w:tc>
        <w:tc>
          <w:tcPr>
            <w:tcW w:w="1231" w:type="dxa"/>
          </w:tcPr>
          <w:p>
            <w:pPr>
              <w:pStyle w:val="TableParagraph"/>
              <w:spacing w:before="81"/>
              <w:ind w:left="14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  <w:tc>
          <w:tcPr>
            <w:tcW w:w="1229" w:type="dxa"/>
          </w:tcPr>
          <w:p>
            <w:pPr>
              <w:pStyle w:val="TableParagraph"/>
              <w:spacing w:before="81"/>
              <w:ind w:left="440" w:right="42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2020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spacing w:before="81"/>
              <w:ind w:right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%</w:t>
            </w:r>
          </w:p>
        </w:tc>
      </w:tr>
      <w:tr>
        <w:trPr>
          <w:trHeight w:val="236" w:hRule="atLeast"/>
        </w:trPr>
        <w:tc>
          <w:tcPr>
            <w:tcW w:w="210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3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 Total</w:t>
            </w: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15.318.290,45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17.569.378,31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14,700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14.393.262,23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(18,080)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16,720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bottom w:val="nil"/>
            </w:tcBorders>
          </w:tcPr>
          <w:p>
            <w:pPr>
              <w:pStyle w:val="TableParagraph"/>
              <w:spacing w:before="53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Receitas Primárias (I)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15.069.205,25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17.239.485,91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14,400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14.079.754,39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(18,330)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16.485.708,52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17,090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17.199.539,70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4,330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17.927.080,23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4,230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 Total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15.318.290,45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17.569.378,31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14,700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14.393.262,23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(18,080)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16,720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5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Despesas Primárias (II)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13.959.911,60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14.728.941,64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(3,850)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14.075.657,36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(4,440)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16.800.000,00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19,350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17.525.000,00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4,320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18.270.000,00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4,250</w:t>
            </w:r>
          </w:p>
        </w:tc>
      </w:tr>
      <w:tr>
        <w:trPr>
          <w:trHeight w:val="195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Resultado Primário III = (I-II)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1.109.293,65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2.510.544,27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126,320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4.097,03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(99,840)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(314.291,48)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(7.771,200)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(325.460,30)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3"/>
              </w:rPr>
            </w:pPr>
            <w:r>
              <w:rPr>
                <w:w w:val="105"/>
                <w:sz w:val="13"/>
              </w:rPr>
              <w:t>3,550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(342.919,77)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5,360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Resultado Nominal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(213.475,66)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(2.035.680,71)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853,590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(100,000)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  <w:tr>
        <w:trPr>
          <w:trHeight w:val="194" w:hRule="atLeast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Dívida Pública Consolidada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2100" w:type="dxa"/>
            <w:tcBorders>
              <w:top w:val="nil"/>
              <w:left w:val="nil"/>
            </w:tcBorders>
          </w:tcPr>
          <w:p>
            <w:pPr>
              <w:pStyle w:val="TableParagraph"/>
              <w:ind w:left="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Dívida Consolidada Líquida</w:t>
            </w:r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31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0,000</w:t>
            </w: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0,00</w:t>
            </w:r>
          </w:p>
        </w:tc>
        <w:tc>
          <w:tcPr>
            <w:tcW w:w="1277" w:type="dxa"/>
            <w:tcBorders>
              <w:top w:val="nil"/>
              <w:right w:val="nil"/>
            </w:tcBorders>
          </w:tcPr>
          <w:p>
            <w:pPr>
              <w:pStyle w:val="TableParagraph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----</w:t>
            </w:r>
            <w:r>
              <w:rPr>
                <w:w w:val="105"/>
                <w:sz w:val="13"/>
              </w:rPr>
              <w:t> </w:t>
            </w:r>
          </w:p>
        </w:tc>
      </w:tr>
    </w:tbl>
    <w:p>
      <w:pPr>
        <w:pStyle w:val="BodyText"/>
        <w:spacing w:line="192" w:lineRule="exact" w:before="59"/>
        <w:ind w:left="16"/>
      </w:pPr>
      <w:r>
        <w:rPr/>
        <w:t>FONTE: Planejamento - LDO 2.0.19/17</w:t>
      </w:r>
    </w:p>
    <w:p>
      <w:pPr>
        <w:pStyle w:val="BodyText"/>
        <w:spacing w:line="192" w:lineRule="exact"/>
        <w:ind w:left="690"/>
      </w:pPr>
      <w:r>
        <w:rPr/>
        <w:t>Secretaria Municipal de Administração, Planejamento e Fazenda - Setor Contábil</w:t>
      </w:r>
    </w:p>
    <w:p>
      <w:pPr>
        <w:pStyle w:val="BodyText"/>
        <w:spacing w:line="184" w:lineRule="auto" w:before="56"/>
        <w:ind w:left="616" w:hanging="600"/>
      </w:pPr>
      <w:r>
        <w:rPr>
          <w:w w:val="95"/>
          <w:position w:val="-2"/>
        </w:rPr>
        <w:t>NOTA:</w:t>
      </w:r>
      <w:r>
        <w:rPr>
          <w:spacing w:val="0"/>
          <w:w w:val="95"/>
          <w:position w:val="-2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projeção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RECEITA</w:t>
      </w:r>
      <w:r>
        <w:rPr>
          <w:spacing w:val="-27"/>
          <w:w w:val="95"/>
        </w:rPr>
        <w:t> </w:t>
      </w:r>
      <w:r>
        <w:rPr>
          <w:w w:val="95"/>
        </w:rPr>
        <w:t>foram</w:t>
      </w:r>
      <w:r>
        <w:rPr>
          <w:spacing w:val="-27"/>
          <w:w w:val="95"/>
        </w:rPr>
        <w:t> </w:t>
      </w:r>
      <w:r>
        <w:rPr>
          <w:w w:val="95"/>
        </w:rPr>
        <w:t>utilizados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7"/>
          <w:w w:val="95"/>
        </w:rPr>
        <w:t> </w:t>
      </w:r>
      <w:r>
        <w:rPr>
          <w:w w:val="95"/>
        </w:rPr>
        <w:t>resultados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últimos</w:t>
      </w:r>
      <w:r>
        <w:rPr>
          <w:spacing w:val="-27"/>
          <w:w w:val="95"/>
        </w:rPr>
        <w:t> </w:t>
      </w:r>
      <w:r>
        <w:rPr>
          <w:w w:val="95"/>
        </w:rPr>
        <w:t>três</w:t>
      </w:r>
      <w:r>
        <w:rPr>
          <w:spacing w:val="-27"/>
          <w:w w:val="95"/>
        </w:rPr>
        <w:t> </w:t>
      </w:r>
      <w:r>
        <w:rPr>
          <w:w w:val="95"/>
        </w:rPr>
        <w:t>Exercícios</w:t>
      </w:r>
      <w:r>
        <w:rPr>
          <w:spacing w:val="-27"/>
          <w:w w:val="95"/>
        </w:rPr>
        <w:t> </w:t>
      </w:r>
      <w:r>
        <w:rPr>
          <w:w w:val="95"/>
        </w:rPr>
        <w:t>Encerrados</w:t>
      </w:r>
      <w:r>
        <w:rPr>
          <w:spacing w:val="-27"/>
          <w:w w:val="95"/>
        </w:rPr>
        <w:t> </w:t>
      </w:r>
      <w:r>
        <w:rPr>
          <w:w w:val="95"/>
        </w:rPr>
        <w:t>através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média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soma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ambos</w:t>
      </w:r>
      <w:r>
        <w:rPr>
          <w:spacing w:val="-27"/>
          <w:w w:val="95"/>
        </w:rPr>
        <w:t> </w:t>
      </w:r>
      <w:r>
        <w:rPr>
          <w:w w:val="95"/>
        </w:rPr>
        <w:t>definiu-se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valor</w:t>
      </w:r>
      <w:r>
        <w:rPr>
          <w:spacing w:val="-27"/>
          <w:w w:val="95"/>
        </w:rPr>
        <w:t> </w:t>
      </w:r>
      <w:r>
        <w:rPr>
          <w:w w:val="95"/>
        </w:rPr>
        <w:t>nominal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aplicabilidade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índices</w:t>
      </w:r>
      <w:r>
        <w:rPr>
          <w:spacing w:val="-27"/>
          <w:w w:val="95"/>
        </w:rPr>
        <w:t> </w:t>
      </w:r>
      <w:r>
        <w:rPr>
          <w:w w:val="95"/>
        </w:rPr>
        <w:t>inflacionários</w:t>
      </w:r>
      <w:r>
        <w:rPr>
          <w:spacing w:val="-27"/>
          <w:w w:val="95"/>
        </w:rPr>
        <w:t> </w:t>
      </w:r>
      <w:r>
        <w:rPr>
          <w:w w:val="95"/>
        </w:rPr>
        <w:t>do</w:t>
      </w:r>
      <w:r>
        <w:rPr>
          <w:w w:val="89"/>
        </w:rPr>
        <w:t> </w:t>
      </w:r>
      <w:r>
        <w:rPr/>
        <w:t>IPCA</w:t>
      </w:r>
      <w:r>
        <w:rPr>
          <w:spacing w:val="-26"/>
        </w:rPr>
        <w:t> </w:t>
      </w:r>
      <w:r>
        <w:rPr/>
        <w:t>para</w:t>
      </w:r>
      <w:r>
        <w:rPr>
          <w:spacing w:val="-26"/>
        </w:rPr>
        <w:t> </w:t>
      </w:r>
      <w:r>
        <w:rPr/>
        <w:t>2018</w:t>
      </w:r>
      <w:r>
        <w:rPr>
          <w:spacing w:val="-26"/>
        </w:rPr>
        <w:t> </w:t>
      </w:r>
      <w:r>
        <w:rPr/>
        <w:t>no</w:t>
      </w:r>
      <w:r>
        <w:rPr>
          <w:spacing w:val="-26"/>
        </w:rPr>
        <w:t> </w:t>
      </w:r>
      <w:r>
        <w:rPr/>
        <w:t>percentual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4,32%,</w:t>
      </w:r>
      <w:r>
        <w:rPr>
          <w:spacing w:val="-26"/>
        </w:rPr>
        <w:t> </w:t>
      </w:r>
      <w:r>
        <w:rPr/>
        <w:t>para</w:t>
      </w:r>
      <w:r>
        <w:rPr>
          <w:spacing w:val="-26"/>
        </w:rPr>
        <w:t> </w:t>
      </w:r>
      <w:r>
        <w:rPr/>
        <w:t>2019</w:t>
      </w:r>
      <w:r>
        <w:rPr>
          <w:spacing w:val="-26"/>
        </w:rPr>
        <w:t> </w:t>
      </w:r>
      <w:r>
        <w:rPr/>
        <w:t>de</w:t>
      </w:r>
      <w:r>
        <w:rPr>
          <w:spacing w:val="-4"/>
        </w:rPr>
        <w:t> </w:t>
      </w:r>
      <w:r>
        <w:rPr/>
        <w:t>4,33%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2020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4,23%</w:t>
      </w:r>
      <w:r>
        <w:rPr>
          <w:spacing w:val="-26"/>
        </w:rPr>
        <w:t> </w:t>
      </w:r>
      <w:r>
        <w:rPr/>
        <w:t>Entretanto,</w:t>
      </w:r>
      <w:r>
        <w:rPr>
          <w:spacing w:val="-26"/>
        </w:rPr>
        <w:t> </w:t>
      </w:r>
      <w:r>
        <w:rPr/>
        <w:t>havendo</w:t>
      </w:r>
      <w:r>
        <w:rPr>
          <w:spacing w:val="-26"/>
        </w:rPr>
        <w:t> </w:t>
      </w:r>
      <w:r>
        <w:rPr/>
        <w:t>previsão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valores</w:t>
      </w:r>
      <w:r>
        <w:rPr>
          <w:spacing w:val="-26"/>
        </w:rPr>
        <w:t> </w:t>
      </w:r>
      <w:r>
        <w:rPr/>
        <w:t>mais</w:t>
      </w:r>
      <w:r>
        <w:rPr>
          <w:spacing w:val="-26"/>
        </w:rPr>
        <w:t> </w:t>
      </w:r>
      <w:r>
        <w:rPr/>
        <w:t>confiáveis</w:t>
      </w:r>
      <w:r>
        <w:rPr>
          <w:spacing w:val="-26"/>
        </w:rPr>
        <w:t> </w:t>
      </w:r>
      <w:r>
        <w:rPr/>
        <w:t>deve-se</w:t>
      </w:r>
      <w:r>
        <w:rPr>
          <w:spacing w:val="-26"/>
        </w:rPr>
        <w:t> </w:t>
      </w:r>
      <w:r>
        <w:rPr/>
        <w:t>adotar</w:t>
      </w:r>
      <w:r>
        <w:rPr>
          <w:spacing w:val="-26"/>
        </w:rPr>
        <w:t> </w:t>
      </w:r>
      <w:r>
        <w:rPr/>
        <w:t>esta</w:t>
      </w:r>
      <w:r>
        <w:rPr>
          <w:spacing w:val="-26"/>
        </w:rPr>
        <w:t> </w:t>
      </w:r>
      <w:r>
        <w:rPr/>
        <w:t>previsão</w:t>
      </w:r>
      <w:r>
        <w:rPr>
          <w:spacing w:val="-26"/>
        </w:rPr>
        <w:t> </w:t>
      </w:r>
      <w:r>
        <w:rPr/>
        <w:t>obsevando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prudência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0" w:bottom="0" w:left="0" w:right="760"/>
        </w:sectPr>
      </w:pPr>
    </w:p>
    <w:p>
      <w:pPr>
        <w:pStyle w:val="BodyText"/>
        <w:spacing w:line="244" w:lineRule="auto" w:before="79"/>
        <w:ind w:left="566" w:right="89"/>
        <w:jc w:val="center"/>
      </w:pPr>
      <w:r>
        <w:rPr>
          <w:w w:val="85"/>
        </w:rPr>
        <w:t>________________________________ </w:t>
      </w:r>
      <w:r>
        <w:rPr/>
        <w:t>FABIO MAYER BARASUOL</w:t>
      </w:r>
    </w:p>
    <w:p>
      <w:pPr>
        <w:pStyle w:val="BodyText"/>
        <w:spacing w:before="4"/>
        <w:ind w:left="564" w:right="89"/>
        <w:jc w:val="center"/>
      </w:pPr>
      <w:r>
        <w:rPr/>
        <w:t>Prefeito Municipal</w:t>
      </w:r>
    </w:p>
    <w:p>
      <w:pPr>
        <w:pStyle w:val="BodyText"/>
        <w:spacing w:line="244" w:lineRule="auto" w:before="79"/>
        <w:ind w:left="566" w:right="5391"/>
        <w:jc w:val="center"/>
      </w:pPr>
      <w:r>
        <w:rPr/>
        <w:br w:type="column"/>
      </w:r>
      <w:r>
        <w:rPr>
          <w:w w:val="85"/>
        </w:rPr>
        <w:t>________________________________ </w:t>
      </w:r>
      <w:r>
        <w:rPr/>
        <w:t>FABIO DA SILVA WEISCHUNG</w:t>
      </w:r>
    </w:p>
    <w:p>
      <w:pPr>
        <w:pStyle w:val="BodyText"/>
        <w:spacing w:before="4"/>
        <w:ind w:left="566" w:right="5390"/>
        <w:jc w:val="center"/>
      </w:pPr>
      <w:r>
        <w:rPr/>
        <w:t>Téc. Contábil CRC 076956-7</w:t>
      </w:r>
    </w:p>
    <w:p>
      <w:pPr>
        <w:spacing w:after="0"/>
        <w:jc w:val="center"/>
        <w:sectPr>
          <w:type w:val="continuous"/>
          <w:pgSz w:w="16840" w:h="11900" w:orient="landscape"/>
          <w:pgMar w:top="0" w:bottom="0" w:left="0" w:right="760"/>
          <w:cols w:num="2" w:equalWidth="0">
            <w:col w:w="3398" w:space="3982"/>
            <w:col w:w="87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9"/>
        <w:ind w:left="16"/>
      </w:pPr>
      <w:r>
        <w:rPr>
          <w:color w:val="010000"/>
        </w:rPr>
        <w:t>Planejamento - LDO 2.0.19/17</w:t>
      </w:r>
    </w:p>
    <w:p>
      <w:pPr>
        <w:pStyle w:val="BodyText"/>
        <w:spacing w:before="36"/>
        <w:ind w:left="16"/>
      </w:pPr>
      <w:r>
        <w:rPr>
          <w:color w:val="010000"/>
        </w:rPr>
        <w:t>FONTE: SEC. MUN. ADM., PLANEJ. E FAZENDA - SETOR CONTÁBIL</w:t>
      </w:r>
    </w:p>
    <w:sectPr>
      <w:type w:val="continuous"/>
      <w:pgSz w:w="16840" w:h="11900" w:orient="landscape"/>
      <w:pgMar w:top="0" w:bottom="0" w:left="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right="2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dc:title>Demonstrativo III - Das Metas F</dc:title>
  <dcterms:created xsi:type="dcterms:W3CDTF">2017-11-14T16:26:34Z</dcterms:created>
  <dcterms:modified xsi:type="dcterms:W3CDTF">2017-11-14T16:26:34Z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